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63CBD" w14:textId="58A87D2D" w:rsidR="008744E1" w:rsidRDefault="008744E1" w:rsidP="008744E1">
      <w:pPr>
        <w:shd w:val="clear" w:color="auto" w:fill="FFFFFF"/>
        <w:spacing w:after="0" w:line="240" w:lineRule="auto"/>
        <w:jc w:val="both"/>
        <w:rPr>
          <w:rFonts w:ascii="Playfair Display" w:eastAsia="Times New Roman" w:hAnsi="Playfair Display" w:cs="Times New Roman"/>
          <w:b/>
          <w:bCs/>
          <w:color w:val="171617"/>
          <w:kern w:val="36"/>
          <w:sz w:val="28"/>
          <w:szCs w:val="28"/>
          <w:lang w:eastAsia="fr-FR"/>
          <w14:ligatures w14:val="none"/>
        </w:rPr>
      </w:pPr>
      <w:r w:rsidRPr="008744E1">
        <w:rPr>
          <w:rFonts w:ascii="Playfair Display" w:eastAsia="Times New Roman" w:hAnsi="Playfair Display" w:cs="Times New Roman"/>
          <w:b/>
          <w:bCs/>
          <w:color w:val="171617"/>
          <w:kern w:val="36"/>
          <w:sz w:val="28"/>
          <w:szCs w:val="28"/>
          <w:lang w:eastAsia="fr-FR"/>
          <w14:ligatures w14:val="none"/>
        </w:rPr>
        <w:fldChar w:fldCharType="begin"/>
      </w:r>
      <w:r w:rsidRPr="008744E1">
        <w:rPr>
          <w:rFonts w:ascii="Playfair Display" w:eastAsia="Times New Roman" w:hAnsi="Playfair Display" w:cs="Times New Roman"/>
          <w:b/>
          <w:bCs/>
          <w:color w:val="171617"/>
          <w:kern w:val="36"/>
          <w:sz w:val="28"/>
          <w:szCs w:val="28"/>
          <w:lang w:eastAsia="fr-FR"/>
          <w14:ligatures w14:val="none"/>
        </w:rPr>
        <w:instrText>HYPERLINK "https://blog.landot-avocats.net/author/ericlandot/"</w:instrText>
      </w:r>
      <w:r w:rsidRPr="008744E1">
        <w:rPr>
          <w:rFonts w:ascii="Playfair Display" w:eastAsia="Times New Roman" w:hAnsi="Playfair Display" w:cs="Times New Roman"/>
          <w:b/>
          <w:bCs/>
          <w:color w:val="171617"/>
          <w:kern w:val="36"/>
          <w:sz w:val="28"/>
          <w:szCs w:val="28"/>
          <w:lang w:eastAsia="fr-FR"/>
          <w14:ligatures w14:val="none"/>
        </w:rPr>
      </w:r>
      <w:r w:rsidRPr="008744E1">
        <w:rPr>
          <w:rFonts w:ascii="Playfair Display" w:eastAsia="Times New Roman" w:hAnsi="Playfair Display" w:cs="Times New Roman"/>
          <w:b/>
          <w:bCs/>
          <w:color w:val="171617"/>
          <w:kern w:val="36"/>
          <w:sz w:val="28"/>
          <w:szCs w:val="28"/>
          <w:lang w:eastAsia="fr-FR"/>
          <w14:ligatures w14:val="none"/>
        </w:rPr>
        <w:fldChar w:fldCharType="separate"/>
      </w:r>
      <w:r w:rsidRPr="008744E1">
        <w:rPr>
          <w:rFonts w:ascii="Playfair Display" w:eastAsia="Times New Roman" w:hAnsi="Playfair Display" w:cs="Times New Roman"/>
          <w:b/>
          <w:bCs/>
          <w:color w:val="171617"/>
          <w:kern w:val="36"/>
          <w:sz w:val="28"/>
          <w:szCs w:val="28"/>
          <w:lang w:eastAsia="fr-FR"/>
          <w14:ligatures w14:val="none"/>
        </w:rPr>
        <w:t xml:space="preserve">Éric </w:t>
      </w:r>
      <w:proofErr w:type="spellStart"/>
      <w:r w:rsidRPr="008744E1">
        <w:rPr>
          <w:rFonts w:ascii="Playfair Display" w:eastAsia="Times New Roman" w:hAnsi="Playfair Display" w:cs="Times New Roman"/>
          <w:b/>
          <w:bCs/>
          <w:color w:val="171617"/>
          <w:kern w:val="36"/>
          <w:sz w:val="28"/>
          <w:szCs w:val="28"/>
          <w:lang w:eastAsia="fr-FR"/>
          <w14:ligatures w14:val="none"/>
        </w:rPr>
        <w:t>Landot</w:t>
      </w:r>
      <w:proofErr w:type="spellEnd"/>
      <w:r w:rsidRPr="008744E1">
        <w:rPr>
          <w:rFonts w:ascii="Playfair Display" w:eastAsia="Times New Roman" w:hAnsi="Playfair Display" w:cs="Times New Roman"/>
          <w:b/>
          <w:bCs/>
          <w:color w:val="171617"/>
          <w:kern w:val="36"/>
          <w:sz w:val="28"/>
          <w:szCs w:val="28"/>
          <w:lang w:eastAsia="fr-FR"/>
          <w14:ligatures w14:val="none"/>
        </w:rPr>
        <w:t> </w:t>
      </w:r>
      <w:r w:rsidRPr="008744E1">
        <w:rPr>
          <w:rFonts w:ascii="Playfair Display" w:eastAsia="Times New Roman" w:hAnsi="Playfair Display" w:cs="Times New Roman"/>
          <w:b/>
          <w:bCs/>
          <w:color w:val="171617"/>
          <w:kern w:val="36"/>
          <w:sz w:val="28"/>
          <w:szCs w:val="28"/>
          <w:lang w:eastAsia="fr-FR"/>
          <w14:ligatures w14:val="none"/>
        </w:rPr>
        <w:fldChar w:fldCharType="end"/>
      </w:r>
      <w:r w:rsidRPr="008744E1">
        <w:rPr>
          <w:rFonts w:ascii="Playfair Display" w:eastAsia="Times New Roman" w:hAnsi="Playfair Display" w:cs="Times New Roman"/>
          <w:b/>
          <w:bCs/>
          <w:color w:val="171617"/>
          <w:kern w:val="36"/>
          <w:sz w:val="28"/>
          <w:szCs w:val="28"/>
          <w:lang w:eastAsia="fr-FR"/>
          <w14:ligatures w14:val="none"/>
        </w:rPr>
        <w:t> </w:t>
      </w:r>
      <w:r>
        <w:rPr>
          <w:rFonts w:ascii="Playfair Display" w:eastAsia="Times New Roman" w:hAnsi="Playfair Display" w:cs="Times New Roman"/>
          <w:b/>
          <w:bCs/>
          <w:color w:val="171617"/>
          <w:kern w:val="36"/>
          <w:sz w:val="28"/>
          <w:szCs w:val="28"/>
          <w:lang w:eastAsia="fr-FR"/>
          <w14:ligatures w14:val="none"/>
        </w:rPr>
        <w:t xml:space="preserve">avocat - </w:t>
      </w:r>
      <w:hyperlink r:id="rId7" w:history="1">
        <w:r w:rsidRPr="008744E1">
          <w:rPr>
            <w:rFonts w:ascii="Playfair Display" w:eastAsia="Times New Roman" w:hAnsi="Playfair Display" w:cs="Times New Roman"/>
            <w:b/>
            <w:bCs/>
            <w:color w:val="171617"/>
            <w:kern w:val="36"/>
            <w:sz w:val="28"/>
            <w:szCs w:val="28"/>
            <w:lang w:eastAsia="fr-FR"/>
            <w14:ligatures w14:val="none"/>
          </w:rPr>
          <w:t>22/10/2024</w:t>
        </w:r>
      </w:hyperlink>
      <w:r w:rsidRPr="008744E1">
        <w:rPr>
          <w:rFonts w:ascii="Playfair Display" w:eastAsia="Times New Roman" w:hAnsi="Playfair Display" w:cs="Times New Roman"/>
          <w:b/>
          <w:bCs/>
          <w:color w:val="171617"/>
          <w:kern w:val="36"/>
          <w:sz w:val="28"/>
          <w:szCs w:val="28"/>
          <w:lang w:eastAsia="fr-FR"/>
          <w14:ligatures w14:val="none"/>
        </w:rPr>
        <w:t>  </w:t>
      </w:r>
      <w:hyperlink r:id="rId8" w:history="1">
        <w:r w:rsidRPr="008744E1">
          <w:rPr>
            <w:rFonts w:ascii="Playfair Display" w:eastAsia="Times New Roman" w:hAnsi="Playfair Display" w:cs="Times New Roman"/>
            <w:b/>
            <w:bCs/>
            <w:color w:val="171617"/>
            <w:kern w:val="36"/>
            <w:sz w:val="28"/>
            <w:szCs w:val="28"/>
            <w:lang w:eastAsia="fr-FR"/>
            <w14:ligatures w14:val="none"/>
          </w:rPr>
          <w:t>Brèves et articles</w:t>
        </w:r>
      </w:hyperlink>
      <w:r w:rsidRPr="008744E1">
        <w:rPr>
          <w:rFonts w:ascii="Playfair Display" w:eastAsia="Times New Roman" w:hAnsi="Playfair Display" w:cs="Times New Roman"/>
          <w:b/>
          <w:bCs/>
          <w:color w:val="171617"/>
          <w:kern w:val="36"/>
          <w:sz w:val="28"/>
          <w:szCs w:val="28"/>
          <w:lang w:eastAsia="fr-FR"/>
          <w14:ligatures w14:val="none"/>
        </w:rPr>
        <w:t>, </w:t>
      </w:r>
      <w:hyperlink r:id="rId9" w:history="1">
        <w:r w:rsidRPr="008744E1">
          <w:rPr>
            <w:rFonts w:ascii="Playfair Display" w:eastAsia="Times New Roman" w:hAnsi="Playfair Display" w:cs="Times New Roman"/>
            <w:b/>
            <w:bCs/>
            <w:color w:val="171617"/>
            <w:kern w:val="36"/>
            <w:sz w:val="28"/>
            <w:szCs w:val="28"/>
            <w:lang w:eastAsia="fr-FR"/>
            <w14:ligatures w14:val="none"/>
          </w:rPr>
          <w:t>Contrats, gestion publique et aménagement (dont domaine public)</w:t>
        </w:r>
      </w:hyperlink>
      <w:r w:rsidRPr="008744E1">
        <w:rPr>
          <w:rFonts w:ascii="Playfair Display" w:eastAsia="Times New Roman" w:hAnsi="Playfair Display" w:cs="Times New Roman"/>
          <w:b/>
          <w:bCs/>
          <w:color w:val="171617"/>
          <w:kern w:val="36"/>
          <w:sz w:val="28"/>
          <w:szCs w:val="28"/>
          <w:lang w:eastAsia="fr-FR"/>
          <w14:ligatures w14:val="none"/>
        </w:rPr>
        <w:t>, </w:t>
      </w:r>
      <w:hyperlink r:id="rId10" w:history="1">
        <w:r w:rsidRPr="008744E1">
          <w:rPr>
            <w:rFonts w:ascii="Playfair Display" w:eastAsia="Times New Roman" w:hAnsi="Playfair Display" w:cs="Times New Roman"/>
            <w:b/>
            <w:bCs/>
            <w:color w:val="171617"/>
            <w:kern w:val="36"/>
            <w:sz w:val="28"/>
            <w:szCs w:val="28"/>
            <w:lang w:eastAsia="fr-FR"/>
            <w14:ligatures w14:val="none"/>
          </w:rPr>
          <w:t>Ressources et institutions (dont fonction publique, élections, responsabilités, droit administratif général...)</w:t>
        </w:r>
      </w:hyperlink>
    </w:p>
    <w:p w14:paraId="1F2CBB74" w14:textId="77777777" w:rsidR="008744E1" w:rsidRPr="008744E1" w:rsidRDefault="008744E1" w:rsidP="008744E1">
      <w:pPr>
        <w:shd w:val="clear" w:color="auto" w:fill="FFFFFF"/>
        <w:spacing w:after="0" w:line="240" w:lineRule="auto"/>
        <w:jc w:val="both"/>
        <w:rPr>
          <w:rFonts w:ascii="Playfair Display" w:eastAsia="Times New Roman" w:hAnsi="Playfair Display" w:cs="Times New Roman"/>
          <w:b/>
          <w:bCs/>
          <w:color w:val="171617"/>
          <w:kern w:val="36"/>
          <w:sz w:val="28"/>
          <w:szCs w:val="28"/>
          <w:lang w:eastAsia="fr-FR"/>
          <w14:ligatures w14:val="none"/>
        </w:rPr>
      </w:pPr>
    </w:p>
    <w:p w14:paraId="5CB4DD73" w14:textId="77777777" w:rsidR="008744E1" w:rsidRDefault="008744E1" w:rsidP="008744E1">
      <w:pPr>
        <w:shd w:val="clear" w:color="auto" w:fill="FFFFFF"/>
        <w:spacing w:after="213" w:line="240" w:lineRule="auto"/>
        <w:jc w:val="both"/>
        <w:outlineLvl w:val="0"/>
        <w:rPr>
          <w:rFonts w:eastAsia="Times New Roman" w:cs="Times New Roman"/>
          <w:i/>
          <w:iCs/>
          <w:color w:val="171617"/>
          <w:kern w:val="36"/>
          <w:lang w:eastAsia="fr-FR"/>
          <w14:ligatures w14:val="none"/>
        </w:rPr>
      </w:pPr>
      <w:r w:rsidRPr="008744E1">
        <w:rPr>
          <w:rFonts w:eastAsia="Times New Roman" w:cs="Times New Roman"/>
          <w:b/>
          <w:bCs/>
          <w:color w:val="171617"/>
          <w:kern w:val="36"/>
          <w:lang w:eastAsia="fr-FR"/>
          <w14:ligatures w14:val="none"/>
        </w:rPr>
        <w:t>Fraude au paiement par usurpation de l’identité du cocontractant :</w:t>
      </w:r>
      <w:r w:rsidRPr="008744E1">
        <w:rPr>
          <w:rFonts w:eastAsia="Times New Roman" w:cs="Times New Roman"/>
          <w:color w:val="171617"/>
          <w:kern w:val="36"/>
          <w:lang w:eastAsia="fr-FR"/>
          <w14:ligatures w14:val="none"/>
        </w:rPr>
        <w:t> le Conseil d’Etat confirme que c’est à la personne publique qu’il incombe de payer </w:t>
      </w:r>
      <w:r w:rsidRPr="008744E1">
        <w:rPr>
          <w:rFonts w:eastAsia="Times New Roman" w:cs="Times New Roman"/>
          <w:i/>
          <w:iCs/>
          <w:color w:val="171617"/>
          <w:kern w:val="36"/>
          <w:lang w:eastAsia="fr-FR"/>
          <w14:ligatures w14:val="none"/>
        </w:rPr>
        <w:t>(quitte à envisager une action récursoire)</w:t>
      </w:r>
    </w:p>
    <w:p w14:paraId="57AA3292"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b/>
          <w:bCs/>
          <w:i/>
          <w:iCs/>
          <w:color w:val="3D3E40"/>
          <w:kern w:val="0"/>
          <w:sz w:val="27"/>
          <w:szCs w:val="27"/>
          <w:lang w:eastAsia="fr-FR"/>
          <w14:ligatures w14:val="none"/>
        </w:rPr>
        <w:t>Une facture est payée par une collectivité publique. Mais à la suite d’une escroquerie, c’est un malfrat qui encaisse le virement en lieu et place du fournisseur. Faut-il, alors, néanmoins payer le fournisseur ? Au risque d’un double décaissement pour la collectivité publique ?  </w:t>
      </w:r>
    </w:p>
    <w:p w14:paraId="3762DF1C"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b/>
          <w:bCs/>
          <w:i/>
          <w:iCs/>
          <w:color w:val="3D3E40"/>
          <w:kern w:val="0"/>
          <w:sz w:val="27"/>
          <w:szCs w:val="27"/>
          <w:lang w:eastAsia="fr-FR"/>
          <w14:ligatures w14:val="none"/>
        </w:rPr>
        <w:t>Réponse du Conseil d’Etat hier : OUI.</w:t>
      </w:r>
      <w:r w:rsidRPr="008744E1">
        <w:rPr>
          <w:rFonts w:ascii="Times New Roman" w:eastAsia="Times New Roman" w:hAnsi="Times New Roman" w:cs="Times New Roman"/>
          <w:i/>
          <w:iCs/>
          <w:color w:val="3D3E40"/>
          <w:kern w:val="0"/>
          <w:sz w:val="27"/>
          <w:szCs w:val="27"/>
          <w:lang w:eastAsia="fr-FR"/>
          <w14:ligatures w14:val="none"/>
        </w:rPr>
        <w:t> </w:t>
      </w:r>
      <w:r w:rsidRPr="008744E1">
        <w:rPr>
          <w:rFonts w:ascii="Times New Roman" w:eastAsia="Times New Roman" w:hAnsi="Times New Roman" w:cs="Times New Roman"/>
          <w:b/>
          <w:bCs/>
          <w:i/>
          <w:iCs/>
          <w:color w:val="3D3E40"/>
          <w:kern w:val="0"/>
          <w:sz w:val="27"/>
          <w:szCs w:val="27"/>
          <w:lang w:eastAsia="fr-FR"/>
          <w14:ligatures w14:val="none"/>
        </w:rPr>
        <w:t>Quitte à envisager des actions en responsabilité par ricochet (action récursoire, mise en cause de la faute du cocontractant…). Avec éventuelle compensation aux bons soins du juge. </w:t>
      </w:r>
    </w:p>
    <w:p w14:paraId="6716075E" w14:textId="77777777" w:rsidR="008744E1" w:rsidRPr="008744E1" w:rsidRDefault="008744E1" w:rsidP="008744E1">
      <w:pPr>
        <w:numPr>
          <w:ilvl w:val="0"/>
          <w:numId w:val="1"/>
        </w:numPr>
        <w:shd w:val="clear" w:color="auto" w:fill="FFFFFF"/>
        <w:spacing w:before="100" w:beforeAutospacing="1" w:after="180" w:line="240" w:lineRule="auto"/>
        <w:ind w:left="1080"/>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b/>
          <w:bCs/>
          <w:i/>
          <w:iCs/>
          <w:color w:val="3D3E40"/>
          <w:kern w:val="0"/>
          <w:sz w:val="27"/>
          <w:szCs w:val="27"/>
          <w:lang w:eastAsia="fr-FR"/>
          <w14:ligatures w14:val="none"/>
        </w:rPr>
        <w:t>I. Le Conseil d’Etat confirme que c’est à la personne publique qu’il incombe de payer (quitte à envisager une action récursoire)</w:t>
      </w:r>
    </w:p>
    <w:p w14:paraId="532584F4" w14:textId="77777777" w:rsidR="008744E1" w:rsidRPr="008744E1" w:rsidRDefault="008744E1" w:rsidP="008744E1">
      <w:pPr>
        <w:numPr>
          <w:ilvl w:val="0"/>
          <w:numId w:val="1"/>
        </w:numPr>
        <w:shd w:val="clear" w:color="auto" w:fill="FFFFFF"/>
        <w:spacing w:before="100" w:beforeAutospacing="1" w:after="180" w:line="240" w:lineRule="auto"/>
        <w:ind w:left="1080"/>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b/>
          <w:bCs/>
          <w:i/>
          <w:iCs/>
          <w:color w:val="3D3E40"/>
          <w:kern w:val="0"/>
          <w:sz w:val="27"/>
          <w:szCs w:val="27"/>
          <w:lang w:eastAsia="fr-FR"/>
          <w14:ligatures w14:val="none"/>
        </w:rPr>
        <w:t>II. Compléments (loi Fraude de 2018 ; conseils pratiques ; vidéo)</w:t>
      </w:r>
    </w:p>
    <w:p w14:paraId="3C81B69D" w14:textId="77777777" w:rsidR="008744E1" w:rsidRPr="008744E1" w:rsidRDefault="008744E1" w:rsidP="008744E1">
      <w:pPr>
        <w:shd w:val="clear" w:color="auto" w:fill="FFFFFF"/>
        <w:spacing w:after="213" w:line="240" w:lineRule="auto"/>
        <w:jc w:val="both"/>
        <w:outlineLvl w:val="0"/>
        <w:rPr>
          <w:rFonts w:eastAsia="Times New Roman" w:cs="Times New Roman"/>
          <w:color w:val="171617"/>
          <w:kern w:val="36"/>
          <w:lang w:eastAsia="fr-FR"/>
          <w14:ligatures w14:val="none"/>
        </w:rPr>
      </w:pPr>
    </w:p>
    <w:p w14:paraId="1790B0BB" w14:textId="77777777" w:rsidR="008744E1" w:rsidRPr="008744E1" w:rsidRDefault="008744E1" w:rsidP="008744E1">
      <w:pPr>
        <w:shd w:val="clear" w:color="auto" w:fill="FFFFFF"/>
        <w:spacing w:before="480" w:after="180" w:line="240" w:lineRule="auto"/>
        <w:outlineLvl w:val="2"/>
        <w:rPr>
          <w:rFonts w:ascii="Playfair Display" w:eastAsia="Times New Roman" w:hAnsi="Playfair Display" w:cs="Times New Roman"/>
          <w:color w:val="171617"/>
          <w:kern w:val="0"/>
          <w:sz w:val="36"/>
          <w:szCs w:val="36"/>
          <w:lang w:eastAsia="fr-FR"/>
          <w14:ligatures w14:val="none"/>
        </w:rPr>
      </w:pPr>
      <w:r w:rsidRPr="008744E1">
        <w:rPr>
          <w:rFonts w:ascii="Playfair Display" w:eastAsia="Times New Roman" w:hAnsi="Playfair Display" w:cs="Times New Roman"/>
          <w:b/>
          <w:bCs/>
          <w:i/>
          <w:iCs/>
          <w:color w:val="171617"/>
          <w:kern w:val="0"/>
          <w:sz w:val="36"/>
          <w:szCs w:val="36"/>
          <w:u w:val="single"/>
          <w:lang w:eastAsia="fr-FR"/>
          <w14:ligatures w14:val="none"/>
        </w:rPr>
        <w:t>I. Le Conseil d’Etat confirme que c’est à la personne publique qu’il incombe de payer (quitte à envisager une action récursoire)</w:t>
      </w:r>
    </w:p>
    <w:p w14:paraId="24D8B600"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color w:val="3D3E40"/>
          <w:kern w:val="0"/>
          <w:sz w:val="27"/>
          <w:szCs w:val="27"/>
          <w:lang w:eastAsia="fr-FR"/>
          <w14:ligatures w14:val="none"/>
        </w:rPr>
        <w:t> </w:t>
      </w:r>
    </w:p>
    <w:p w14:paraId="28CADD17"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color w:val="3D3E40"/>
          <w:kern w:val="0"/>
          <w:sz w:val="27"/>
          <w:szCs w:val="27"/>
          <w:lang w:eastAsia="fr-FR"/>
          <w14:ligatures w14:val="none"/>
        </w:rPr>
        <w:t>De telles fraudes sur les RIB liés à telle ou telle facture ne sont pas rares, même si depuis la fin des factures papier (avant il y avait des fraudes via des vols postaux suivis de falsification des RIB…) et le développement de Chorus pro nous avons quelques verrous.</w:t>
      </w:r>
    </w:p>
    <w:p w14:paraId="099092F3"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color w:val="3D3E40"/>
          <w:kern w:val="0"/>
          <w:sz w:val="27"/>
          <w:szCs w:val="27"/>
          <w:lang w:eastAsia="fr-FR"/>
          <w14:ligatures w14:val="none"/>
        </w:rPr>
        <w:t> </w:t>
      </w:r>
    </w:p>
    <w:p w14:paraId="0A6234B8"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color w:val="3D3E40"/>
          <w:kern w:val="0"/>
          <w:sz w:val="27"/>
          <w:szCs w:val="27"/>
          <w:lang w:eastAsia="fr-FR"/>
          <w14:ligatures w14:val="none"/>
        </w:rPr>
        <w:t>La première réponse est jurisprudentielle et vient de connaître une spectaculaire confirmation par le Conseil d’Etat.</w:t>
      </w:r>
    </w:p>
    <w:p w14:paraId="748D3269"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color w:val="3D3E40"/>
          <w:kern w:val="0"/>
          <w:sz w:val="27"/>
          <w:szCs w:val="27"/>
          <w:lang w:eastAsia="fr-FR"/>
          <w14:ligatures w14:val="none"/>
        </w:rPr>
        <w:t>OUI il faut alors payer le fournisseur.</w:t>
      </w:r>
    </w:p>
    <w:p w14:paraId="67D3CF7E"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color w:val="3D3E40"/>
          <w:kern w:val="0"/>
          <w:sz w:val="27"/>
          <w:szCs w:val="27"/>
          <w:lang w:eastAsia="fr-FR"/>
          <w14:ligatures w14:val="none"/>
        </w:rPr>
        <w:t>Au risque d’un double décaissement pour la collectivité publique (avec une faute à se partager au cas par cas entre comptable [Etat et comptable à titre personnel] et collectivité.</w:t>
      </w:r>
    </w:p>
    <w:p w14:paraId="43CBFD99"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b/>
          <w:bCs/>
          <w:i/>
          <w:iCs/>
          <w:color w:val="3D3E40"/>
          <w:kern w:val="0"/>
          <w:sz w:val="27"/>
          <w:szCs w:val="27"/>
          <w:lang w:eastAsia="fr-FR"/>
          <w14:ligatures w14:val="none"/>
        </w:rPr>
        <w:lastRenderedPageBreak/>
        <w:t xml:space="preserve">Telle était déjà la position d’un TA et d’une CAA, au moins dans le cas où le comptable public aurait </w:t>
      </w:r>
      <w:proofErr w:type="spellStart"/>
      <w:proofErr w:type="gramStart"/>
      <w:r w:rsidRPr="008744E1">
        <w:rPr>
          <w:rFonts w:ascii="Times New Roman" w:eastAsia="Times New Roman" w:hAnsi="Times New Roman" w:cs="Times New Roman"/>
          <w:b/>
          <w:bCs/>
          <w:i/>
          <w:iCs/>
          <w:color w:val="3D3E40"/>
          <w:kern w:val="0"/>
          <w:sz w:val="27"/>
          <w:szCs w:val="27"/>
          <w:lang w:eastAsia="fr-FR"/>
          <w14:ligatures w14:val="none"/>
        </w:rPr>
        <w:t>du</w:t>
      </w:r>
      <w:proofErr w:type="spellEnd"/>
      <w:proofErr w:type="gramEnd"/>
      <w:r w:rsidRPr="008744E1">
        <w:rPr>
          <w:rFonts w:ascii="Times New Roman" w:eastAsia="Times New Roman" w:hAnsi="Times New Roman" w:cs="Times New Roman"/>
          <w:b/>
          <w:bCs/>
          <w:i/>
          <w:iCs/>
          <w:color w:val="3D3E40"/>
          <w:kern w:val="0"/>
          <w:sz w:val="27"/>
          <w:szCs w:val="27"/>
          <w:lang w:eastAsia="fr-FR"/>
          <w14:ligatures w14:val="none"/>
        </w:rPr>
        <w:t xml:space="preserve"> s’en rendre compte ou aurait </w:t>
      </w:r>
      <w:proofErr w:type="spellStart"/>
      <w:r w:rsidRPr="008744E1">
        <w:rPr>
          <w:rFonts w:ascii="Times New Roman" w:eastAsia="Times New Roman" w:hAnsi="Times New Roman" w:cs="Times New Roman"/>
          <w:b/>
          <w:bCs/>
          <w:i/>
          <w:iCs/>
          <w:color w:val="3D3E40"/>
          <w:kern w:val="0"/>
          <w:sz w:val="27"/>
          <w:szCs w:val="27"/>
          <w:lang w:eastAsia="fr-FR"/>
          <w14:ligatures w14:val="none"/>
        </w:rPr>
        <w:t>du</w:t>
      </w:r>
      <w:proofErr w:type="spellEnd"/>
      <w:r w:rsidRPr="008744E1">
        <w:rPr>
          <w:rFonts w:ascii="Times New Roman" w:eastAsia="Times New Roman" w:hAnsi="Times New Roman" w:cs="Times New Roman"/>
          <w:b/>
          <w:bCs/>
          <w:i/>
          <w:iCs/>
          <w:color w:val="3D3E40"/>
          <w:kern w:val="0"/>
          <w:sz w:val="27"/>
          <w:szCs w:val="27"/>
          <w:lang w:eastAsia="fr-FR"/>
          <w14:ligatures w14:val="none"/>
        </w:rPr>
        <w:t xml:space="preserve"> exiger un avenant.</w:t>
      </w:r>
    </w:p>
    <w:p w14:paraId="03CCB4D9"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color w:val="3D3E40"/>
          <w:kern w:val="0"/>
          <w:sz w:val="27"/>
          <w:szCs w:val="27"/>
          <w:lang w:eastAsia="fr-FR"/>
          <w14:ligatures w14:val="none"/>
        </w:rPr>
        <w:t>Voir : TA Paris, 27 novembre 2017, n° 1619651 ; puis CAA de PARIS, 10 avril 2018, 17PA03697 :</w:t>
      </w:r>
    </w:p>
    <w:p w14:paraId="5F428946" w14:textId="77777777" w:rsidR="008744E1" w:rsidRPr="008744E1" w:rsidRDefault="008744E1" w:rsidP="008744E1">
      <w:pPr>
        <w:numPr>
          <w:ilvl w:val="0"/>
          <w:numId w:val="2"/>
        </w:numPr>
        <w:shd w:val="clear" w:color="auto" w:fill="FFFFFF"/>
        <w:spacing w:before="100" w:beforeAutospacing="1" w:after="180" w:line="240" w:lineRule="auto"/>
        <w:ind w:left="1080"/>
        <w:rPr>
          <w:rFonts w:ascii="Times New Roman" w:eastAsia="Times New Roman" w:hAnsi="Times New Roman" w:cs="Times New Roman"/>
          <w:color w:val="3D3E40"/>
          <w:kern w:val="0"/>
          <w:sz w:val="27"/>
          <w:szCs w:val="27"/>
          <w:lang w:eastAsia="fr-FR"/>
          <w14:ligatures w14:val="none"/>
        </w:rPr>
      </w:pPr>
      <w:hyperlink r:id="rId11" w:tooltip="17PA03697" w:history="1">
        <w:r w:rsidRPr="008744E1">
          <w:rPr>
            <w:rFonts w:ascii="Times New Roman" w:eastAsia="Times New Roman" w:hAnsi="Times New Roman" w:cs="Times New Roman"/>
            <w:color w:val="257691"/>
            <w:kern w:val="0"/>
            <w:sz w:val="27"/>
            <w:szCs w:val="27"/>
            <w:u w:val="single"/>
            <w:lang w:eastAsia="fr-FR"/>
            <w14:ligatures w14:val="none"/>
          </w:rPr>
          <w:t>17PA03697</w:t>
        </w:r>
      </w:hyperlink>
    </w:p>
    <w:p w14:paraId="16993539"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color w:val="3D3E40"/>
          <w:kern w:val="0"/>
          <w:sz w:val="27"/>
          <w:szCs w:val="27"/>
          <w:lang w:eastAsia="fr-FR"/>
          <w14:ligatures w14:val="none"/>
        </w:rPr>
        <w:t>Voir :</w:t>
      </w:r>
    </w:p>
    <w:p w14:paraId="0E9B89AD" w14:textId="77777777" w:rsidR="008744E1" w:rsidRPr="008744E1" w:rsidRDefault="008744E1" w:rsidP="008744E1">
      <w:pPr>
        <w:numPr>
          <w:ilvl w:val="0"/>
          <w:numId w:val="3"/>
        </w:numPr>
        <w:shd w:val="clear" w:color="auto" w:fill="FFFFFF"/>
        <w:spacing w:before="100" w:beforeAutospacing="1" w:after="180" w:line="240" w:lineRule="auto"/>
        <w:ind w:left="1080"/>
        <w:rPr>
          <w:rFonts w:ascii="Times New Roman" w:eastAsia="Times New Roman" w:hAnsi="Times New Roman" w:cs="Times New Roman"/>
          <w:color w:val="3D3E40"/>
          <w:kern w:val="0"/>
          <w:sz w:val="27"/>
          <w:szCs w:val="27"/>
          <w:lang w:eastAsia="fr-FR"/>
          <w14:ligatures w14:val="none"/>
        </w:rPr>
      </w:pPr>
      <w:hyperlink r:id="rId12" w:history="1">
        <w:r w:rsidRPr="008744E1">
          <w:rPr>
            <w:rFonts w:ascii="Times New Roman" w:eastAsia="Times New Roman" w:hAnsi="Times New Roman" w:cs="Times New Roman"/>
            <w:color w:val="257691"/>
            <w:kern w:val="0"/>
            <w:sz w:val="27"/>
            <w:szCs w:val="27"/>
            <w:u w:val="single"/>
            <w:lang w:eastAsia="fr-FR"/>
            <w14:ligatures w14:val="none"/>
          </w:rPr>
          <w:t>Un escroc encaisse un virement d’un fournisseur d’une personne publique. Faut-il, alors, néanmoins payer le fournisseur au risque d’un double décaissement ? </w:t>
        </w:r>
      </w:hyperlink>
    </w:p>
    <w:p w14:paraId="7FFD6DA3"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color w:val="3D3E40"/>
          <w:kern w:val="0"/>
          <w:sz w:val="27"/>
          <w:szCs w:val="27"/>
          <w:lang w:eastAsia="fr-FR"/>
          <w14:ligatures w14:val="none"/>
        </w:rPr>
        <w:t> </w:t>
      </w:r>
    </w:p>
    <w:p w14:paraId="38640478"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b/>
          <w:bCs/>
          <w:color w:val="3D3E40"/>
          <w:kern w:val="0"/>
          <w:sz w:val="27"/>
          <w:szCs w:val="27"/>
          <w:lang w:eastAsia="fr-FR"/>
          <w14:ligatures w14:val="none"/>
        </w:rPr>
        <w:t>Le Conseil d’Etat vient d’en apporter une spectaculaire confirmation en jugeant :</w:t>
      </w:r>
    </w:p>
    <w:p w14:paraId="700C4BFA" w14:textId="77777777" w:rsidR="008744E1" w:rsidRPr="008744E1" w:rsidRDefault="008744E1" w:rsidP="008744E1">
      <w:pPr>
        <w:numPr>
          <w:ilvl w:val="0"/>
          <w:numId w:val="4"/>
        </w:numPr>
        <w:shd w:val="clear" w:color="auto" w:fill="FFFFFF"/>
        <w:spacing w:before="100" w:beforeAutospacing="1" w:after="180" w:line="240" w:lineRule="auto"/>
        <w:ind w:left="1080"/>
        <w:rPr>
          <w:rFonts w:ascii="Times New Roman" w:eastAsia="Times New Roman" w:hAnsi="Times New Roman" w:cs="Times New Roman"/>
          <w:color w:val="3D3E40"/>
          <w:kern w:val="0"/>
          <w:sz w:val="27"/>
          <w:szCs w:val="27"/>
          <w:lang w:eastAsia="fr-FR"/>
          <w14:ligatures w14:val="none"/>
        </w:rPr>
      </w:pPr>
      <w:proofErr w:type="gramStart"/>
      <w:r w:rsidRPr="008744E1">
        <w:rPr>
          <w:rFonts w:ascii="Times New Roman" w:eastAsia="Times New Roman" w:hAnsi="Times New Roman" w:cs="Times New Roman"/>
          <w:b/>
          <w:bCs/>
          <w:color w:val="3D3E40"/>
          <w:kern w:val="0"/>
          <w:sz w:val="27"/>
          <w:szCs w:val="27"/>
          <w:lang w:eastAsia="fr-FR"/>
          <w14:ligatures w14:val="none"/>
        </w:rPr>
        <w:t>qu’il</w:t>
      </w:r>
      <w:proofErr w:type="gramEnd"/>
      <w:r w:rsidRPr="008744E1">
        <w:rPr>
          <w:rFonts w:ascii="Times New Roman" w:eastAsia="Times New Roman" w:hAnsi="Times New Roman" w:cs="Times New Roman"/>
          <w:b/>
          <w:bCs/>
          <w:color w:val="3D3E40"/>
          <w:kern w:val="0"/>
          <w:sz w:val="27"/>
          <w:szCs w:val="27"/>
          <w:lang w:eastAsia="fr-FR"/>
          <w14:ligatures w14:val="none"/>
        </w:rPr>
        <w:t xml:space="preserve"> appartient à une personne publique de procéder au paiement des sommes dues en exécution d’un contrat administratif en application des stipulations contractuelles, ce qui implique, le cas échéant, dans le cas d’une fraude tenant à l’usurpation de l’identité du cocontractant et ayant pour conséquence le détournement des paiements, que ces derniers soient renouvelés entre les mains du véritable créancier.</w:t>
      </w:r>
    </w:p>
    <w:p w14:paraId="22CBB49A" w14:textId="77777777" w:rsidR="008744E1" w:rsidRPr="008744E1" w:rsidRDefault="008744E1" w:rsidP="008744E1">
      <w:pPr>
        <w:numPr>
          <w:ilvl w:val="0"/>
          <w:numId w:val="4"/>
        </w:numPr>
        <w:shd w:val="clear" w:color="auto" w:fill="FFFFFF"/>
        <w:spacing w:before="100" w:beforeAutospacing="1" w:after="180" w:line="240" w:lineRule="auto"/>
        <w:ind w:left="1080"/>
        <w:rPr>
          <w:rFonts w:ascii="Times New Roman" w:eastAsia="Times New Roman" w:hAnsi="Times New Roman" w:cs="Times New Roman"/>
          <w:color w:val="3D3E40"/>
          <w:kern w:val="0"/>
          <w:sz w:val="27"/>
          <w:szCs w:val="27"/>
          <w:lang w:eastAsia="fr-FR"/>
          <w14:ligatures w14:val="none"/>
        </w:rPr>
      </w:pPr>
      <w:proofErr w:type="gramStart"/>
      <w:r w:rsidRPr="008744E1">
        <w:rPr>
          <w:rFonts w:ascii="Times New Roman" w:eastAsia="Times New Roman" w:hAnsi="Times New Roman" w:cs="Times New Roman"/>
          <w:b/>
          <w:bCs/>
          <w:color w:val="3D3E40"/>
          <w:kern w:val="0"/>
          <w:sz w:val="27"/>
          <w:szCs w:val="27"/>
          <w:lang w:eastAsia="fr-FR"/>
          <w14:ligatures w14:val="none"/>
        </w:rPr>
        <w:t>que</w:t>
      </w:r>
      <w:proofErr w:type="gramEnd"/>
      <w:r w:rsidRPr="008744E1">
        <w:rPr>
          <w:rFonts w:ascii="Times New Roman" w:eastAsia="Times New Roman" w:hAnsi="Times New Roman" w:cs="Times New Roman"/>
          <w:b/>
          <w:bCs/>
          <w:color w:val="3D3E40"/>
          <w:kern w:val="0"/>
          <w:sz w:val="27"/>
          <w:szCs w:val="27"/>
          <w:lang w:eastAsia="fr-FR"/>
          <w14:ligatures w14:val="none"/>
        </w:rPr>
        <w:t xml:space="preserve"> la personne publique ne peut alors pas utilement se prévaloir, pour contester le droit à paiement de son cocontractant sur un fondement contractuel :</w:t>
      </w:r>
    </w:p>
    <w:p w14:paraId="7BDC384E" w14:textId="77777777" w:rsidR="008744E1" w:rsidRPr="008744E1" w:rsidRDefault="008744E1" w:rsidP="008744E1">
      <w:pPr>
        <w:numPr>
          <w:ilvl w:val="1"/>
          <w:numId w:val="4"/>
        </w:numPr>
        <w:shd w:val="clear" w:color="auto" w:fill="FFFFFF"/>
        <w:spacing w:before="100" w:beforeAutospacing="1" w:after="180" w:line="240" w:lineRule="auto"/>
        <w:ind w:left="2160"/>
        <w:rPr>
          <w:rFonts w:ascii="Times New Roman" w:eastAsia="Times New Roman" w:hAnsi="Times New Roman" w:cs="Times New Roman"/>
          <w:color w:val="3D3E40"/>
          <w:kern w:val="0"/>
          <w:sz w:val="27"/>
          <w:szCs w:val="27"/>
          <w:lang w:eastAsia="fr-FR"/>
          <w14:ligatures w14:val="none"/>
        </w:rPr>
      </w:pPr>
      <w:proofErr w:type="gramStart"/>
      <w:r w:rsidRPr="008744E1">
        <w:rPr>
          <w:rFonts w:ascii="Times New Roman" w:eastAsia="Times New Roman" w:hAnsi="Times New Roman" w:cs="Times New Roman"/>
          <w:b/>
          <w:bCs/>
          <w:color w:val="3D3E40"/>
          <w:kern w:val="0"/>
          <w:sz w:val="27"/>
          <w:szCs w:val="27"/>
          <w:lang w:eastAsia="fr-FR"/>
          <w14:ligatures w14:val="none"/>
        </w:rPr>
        <w:t>ni</w:t>
      </w:r>
      <w:proofErr w:type="gramEnd"/>
      <w:r w:rsidRPr="008744E1">
        <w:rPr>
          <w:rFonts w:ascii="Times New Roman" w:eastAsia="Times New Roman" w:hAnsi="Times New Roman" w:cs="Times New Roman"/>
          <w:b/>
          <w:bCs/>
          <w:color w:val="3D3E40"/>
          <w:kern w:val="0"/>
          <w:sz w:val="27"/>
          <w:szCs w:val="27"/>
          <w:lang w:eastAsia="fr-FR"/>
          <w14:ligatures w14:val="none"/>
        </w:rPr>
        <w:t xml:space="preserve"> des dispositions de l’article 1342-3 du code civil relatives au créancier apparent, qui ne sont pas applicables aux contrats administratifs,</w:t>
      </w:r>
    </w:p>
    <w:p w14:paraId="4A6909A9" w14:textId="77777777" w:rsidR="008744E1" w:rsidRPr="008744E1" w:rsidRDefault="008744E1" w:rsidP="008744E1">
      <w:pPr>
        <w:numPr>
          <w:ilvl w:val="1"/>
          <w:numId w:val="4"/>
        </w:numPr>
        <w:shd w:val="clear" w:color="auto" w:fill="FFFFFF"/>
        <w:spacing w:before="100" w:beforeAutospacing="1" w:after="180" w:line="240" w:lineRule="auto"/>
        <w:ind w:left="2160"/>
        <w:rPr>
          <w:rFonts w:ascii="Times New Roman" w:eastAsia="Times New Roman" w:hAnsi="Times New Roman" w:cs="Times New Roman"/>
          <w:color w:val="3D3E40"/>
          <w:kern w:val="0"/>
          <w:sz w:val="27"/>
          <w:szCs w:val="27"/>
          <w:lang w:eastAsia="fr-FR"/>
          <w14:ligatures w14:val="none"/>
        </w:rPr>
      </w:pPr>
      <w:proofErr w:type="gramStart"/>
      <w:r w:rsidRPr="008744E1">
        <w:rPr>
          <w:rFonts w:ascii="Times New Roman" w:eastAsia="Times New Roman" w:hAnsi="Times New Roman" w:cs="Times New Roman"/>
          <w:b/>
          <w:bCs/>
          <w:color w:val="3D3E40"/>
          <w:kern w:val="0"/>
          <w:sz w:val="27"/>
          <w:szCs w:val="27"/>
          <w:lang w:eastAsia="fr-FR"/>
          <w14:ligatures w14:val="none"/>
        </w:rPr>
        <w:t>ni</w:t>
      </w:r>
      <w:proofErr w:type="gramEnd"/>
      <w:r w:rsidRPr="008744E1">
        <w:rPr>
          <w:rFonts w:ascii="Times New Roman" w:eastAsia="Times New Roman" w:hAnsi="Times New Roman" w:cs="Times New Roman"/>
          <w:b/>
          <w:bCs/>
          <w:color w:val="3D3E40"/>
          <w:kern w:val="0"/>
          <w:sz w:val="27"/>
          <w:szCs w:val="27"/>
          <w:lang w:eastAsia="fr-FR"/>
          <w14:ligatures w14:val="none"/>
        </w:rPr>
        <w:t xml:space="preserve"> des manquements qu’aurait commis son cocontractant en communiquant des informations ayant rendu possible la </w:t>
      </w:r>
      <w:proofErr w:type="spellStart"/>
      <w:r w:rsidRPr="008744E1">
        <w:rPr>
          <w:rFonts w:ascii="Times New Roman" w:eastAsia="Times New Roman" w:hAnsi="Times New Roman" w:cs="Times New Roman"/>
          <w:b/>
          <w:bCs/>
          <w:color w:val="3D3E40"/>
          <w:kern w:val="0"/>
          <w:sz w:val="27"/>
          <w:szCs w:val="27"/>
          <w:lang w:eastAsia="fr-FR"/>
          <w14:ligatures w14:val="none"/>
        </w:rPr>
        <w:t>manoeuvre</w:t>
      </w:r>
      <w:proofErr w:type="spellEnd"/>
      <w:r w:rsidRPr="008744E1">
        <w:rPr>
          <w:rFonts w:ascii="Times New Roman" w:eastAsia="Times New Roman" w:hAnsi="Times New Roman" w:cs="Times New Roman"/>
          <w:b/>
          <w:bCs/>
          <w:color w:val="3D3E40"/>
          <w:kern w:val="0"/>
          <w:sz w:val="27"/>
          <w:szCs w:val="27"/>
          <w:lang w:eastAsia="fr-FR"/>
          <w14:ligatures w14:val="none"/>
        </w:rPr>
        <w:t xml:space="preserve"> frauduleuse.</w:t>
      </w:r>
    </w:p>
    <w:p w14:paraId="3AA48604"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b/>
          <w:bCs/>
          <w:color w:val="3D3E40"/>
          <w:kern w:val="0"/>
          <w:sz w:val="27"/>
          <w:szCs w:val="27"/>
          <w:lang w:eastAsia="fr-FR"/>
          <w14:ligatures w14:val="none"/>
        </w:rPr>
        <w:t>Mais la personne publique qui se retrouve à devoir payer deux fois peut rechercher, aux termes mêmes de cette nouvelle décision du Conseil d’Etat, et pour reprendre les formulations des futures tables du rec. :</w:t>
      </w:r>
    </w:p>
    <w:p w14:paraId="54B61753"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b/>
          <w:bCs/>
          <w:i/>
          <w:iCs/>
          <w:color w:val="3D3E40"/>
          <w:kern w:val="0"/>
          <w:sz w:val="27"/>
          <w:szCs w:val="27"/>
          <w:lang w:eastAsia="fr-FR"/>
          <w14:ligatures w14:val="none"/>
        </w:rPr>
        <w:t xml:space="preserve">« </w:t>
      </w:r>
      <w:proofErr w:type="gramStart"/>
      <w:r w:rsidRPr="008744E1">
        <w:rPr>
          <w:rFonts w:ascii="Times New Roman" w:eastAsia="Times New Roman" w:hAnsi="Times New Roman" w:cs="Times New Roman"/>
          <w:b/>
          <w:bCs/>
          <w:i/>
          <w:iCs/>
          <w:color w:val="3D3E40"/>
          <w:kern w:val="0"/>
          <w:sz w:val="27"/>
          <w:szCs w:val="27"/>
          <w:lang w:eastAsia="fr-FR"/>
          <w14:ligatures w14:val="none"/>
        </w:rPr>
        <w:t>outre</w:t>
      </w:r>
      <w:proofErr w:type="gramEnd"/>
      <w:r w:rsidRPr="008744E1">
        <w:rPr>
          <w:rFonts w:ascii="Times New Roman" w:eastAsia="Times New Roman" w:hAnsi="Times New Roman" w:cs="Times New Roman"/>
          <w:b/>
          <w:bCs/>
          <w:i/>
          <w:iCs/>
          <w:color w:val="3D3E40"/>
          <w:kern w:val="0"/>
          <w:sz w:val="27"/>
          <w:szCs w:val="27"/>
          <w:lang w:eastAsia="fr-FR"/>
          <w14:ligatures w14:val="none"/>
        </w:rPr>
        <w:t xml:space="preserve"> la responsabilité de l’auteur de la fraude, celle de son cocontractant, en raison des fautes que celui-ci aurait commises en contribuant à la commission de la fraude, afin d’être indemnisée de tout ou partie du préjudice qu’elle a subi en versant les sommes litigieuses à une autre personne que son créancier.</w:t>
      </w:r>
      <w:r w:rsidRPr="008744E1">
        <w:rPr>
          <w:rFonts w:ascii="Times New Roman" w:eastAsia="Times New Roman" w:hAnsi="Times New Roman" w:cs="Times New Roman"/>
          <w:b/>
          <w:bCs/>
          <w:color w:val="3D3E40"/>
          <w:kern w:val="0"/>
          <w:sz w:val="27"/>
          <w:szCs w:val="27"/>
          <w:lang w:eastAsia="fr-FR"/>
          <w14:ligatures w14:val="none"/>
        </w:rPr>
        <w:t> »</w:t>
      </w:r>
    </w:p>
    <w:p w14:paraId="68A9BD1E" w14:textId="77777777" w:rsidR="008744E1" w:rsidRPr="008744E1" w:rsidRDefault="008744E1" w:rsidP="008744E1">
      <w:pPr>
        <w:shd w:val="clear" w:color="auto" w:fill="FFFFFF"/>
        <w:spacing w:after="180" w:line="240" w:lineRule="auto"/>
        <w:jc w:val="both"/>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i/>
          <w:iCs/>
          <w:color w:val="3D3E40"/>
          <w:kern w:val="0"/>
          <w:sz w:val="27"/>
          <w:szCs w:val="27"/>
          <w:lang w:eastAsia="fr-FR"/>
          <w14:ligatures w14:val="none"/>
        </w:rPr>
        <w:t>Le manquement du cocontractant n’est donc pas bloquant au stade du paiement mais peut donc donner lieu à action récursoire, sans que l’on sache encore à ce stade comment serait appréciée cette faute, notamment si celle-ci vient de communications d’informations (en général par des fraudes téléphoniques ou de messagerie électronique émanant prétendument de la banque, de la collectivité ou du directeur général). Rappelons qu’avant Chorus pro, les vols de facture à La Poste avec réémission de ces factures avec de faux numéros de RIB n’étaient, hélas, pas rare. Nous avons été nombreux à le subir…  </w:t>
      </w:r>
    </w:p>
    <w:p w14:paraId="52C90C4D" w14:textId="77777777" w:rsidR="008744E1" w:rsidRPr="008744E1" w:rsidRDefault="008744E1" w:rsidP="008744E1">
      <w:pPr>
        <w:shd w:val="clear" w:color="auto" w:fill="FFFFFF"/>
        <w:spacing w:after="180" w:line="240" w:lineRule="auto"/>
        <w:rPr>
          <w:rFonts w:ascii="Times New Roman" w:eastAsia="Times New Roman" w:hAnsi="Times New Roman" w:cs="Times New Roman"/>
          <w:color w:val="3D3E40"/>
          <w:kern w:val="0"/>
          <w:sz w:val="27"/>
          <w:szCs w:val="27"/>
          <w:lang w:eastAsia="fr-FR"/>
          <w14:ligatures w14:val="none"/>
        </w:rPr>
      </w:pPr>
      <w:r w:rsidRPr="008744E1">
        <w:rPr>
          <w:rFonts w:ascii="Times New Roman" w:eastAsia="Times New Roman" w:hAnsi="Times New Roman" w:cs="Times New Roman"/>
          <w:b/>
          <w:bCs/>
          <w:color w:val="3D3E40"/>
          <w:kern w:val="0"/>
          <w:sz w:val="27"/>
          <w:szCs w:val="27"/>
          <w:lang w:eastAsia="fr-FR"/>
          <w14:ligatures w14:val="none"/>
        </w:rPr>
        <w:t>La Haute Assemblée :</w:t>
      </w:r>
    </w:p>
    <w:p w14:paraId="05E9CF1A" w14:textId="77777777" w:rsidR="008744E1" w:rsidRPr="008744E1" w:rsidRDefault="008744E1" w:rsidP="008744E1">
      <w:pPr>
        <w:numPr>
          <w:ilvl w:val="0"/>
          <w:numId w:val="5"/>
        </w:numPr>
        <w:shd w:val="clear" w:color="auto" w:fill="FFFFFF"/>
        <w:spacing w:before="100" w:beforeAutospacing="1" w:after="180" w:line="240" w:lineRule="auto"/>
        <w:ind w:left="1080"/>
        <w:jc w:val="both"/>
        <w:rPr>
          <w:rFonts w:ascii="Times New Roman" w:eastAsia="Times New Roman" w:hAnsi="Times New Roman" w:cs="Times New Roman"/>
          <w:color w:val="3D3E40"/>
          <w:kern w:val="0"/>
          <w:sz w:val="27"/>
          <w:szCs w:val="27"/>
          <w:lang w:eastAsia="fr-FR"/>
          <w14:ligatures w14:val="none"/>
        </w:rPr>
      </w:pPr>
      <w:proofErr w:type="gramStart"/>
      <w:r w:rsidRPr="008744E1">
        <w:rPr>
          <w:rFonts w:ascii="Times New Roman" w:eastAsia="Times New Roman" w:hAnsi="Times New Roman" w:cs="Times New Roman"/>
          <w:b/>
          <w:bCs/>
          <w:color w:val="3D3E40"/>
          <w:kern w:val="0"/>
          <w:sz w:val="27"/>
          <w:szCs w:val="27"/>
          <w:lang w:eastAsia="fr-FR"/>
          <w14:ligatures w14:val="none"/>
        </w:rPr>
        <w:t>précise</w:t>
      </w:r>
      <w:proofErr w:type="gramEnd"/>
      <w:r w:rsidRPr="008744E1">
        <w:rPr>
          <w:rFonts w:ascii="Times New Roman" w:eastAsia="Times New Roman" w:hAnsi="Times New Roman" w:cs="Times New Roman"/>
          <w:b/>
          <w:bCs/>
          <w:color w:val="3D3E40"/>
          <w:kern w:val="0"/>
          <w:sz w:val="27"/>
          <w:szCs w:val="27"/>
          <w:lang w:eastAsia="fr-FR"/>
          <w14:ligatures w14:val="none"/>
        </w:rPr>
        <w:t xml:space="preserve"> aussi que le juge peut, s’il est saisi de telles conclusions par la personne publique, procéder à la compensation partielle ou totale des créances respectives de celles-ci et de son cocontractant. Mais cette compensation sera à opérer au stade contentieux, et non au stade du primo-paiement, semble-t-il, même si ce point pourrait être discuté. </w:t>
      </w:r>
    </w:p>
    <w:p w14:paraId="75BAC5D9" w14:textId="77777777" w:rsidR="008744E1" w:rsidRPr="008744E1" w:rsidRDefault="008744E1" w:rsidP="008744E1">
      <w:pPr>
        <w:numPr>
          <w:ilvl w:val="0"/>
          <w:numId w:val="5"/>
        </w:numPr>
        <w:shd w:val="clear" w:color="auto" w:fill="FFFFFF"/>
        <w:spacing w:before="100" w:beforeAutospacing="1" w:after="180" w:line="240" w:lineRule="auto"/>
        <w:ind w:left="1080"/>
        <w:jc w:val="both"/>
        <w:rPr>
          <w:rFonts w:ascii="Times New Roman" w:eastAsia="Times New Roman" w:hAnsi="Times New Roman" w:cs="Times New Roman"/>
          <w:color w:val="3D3E40"/>
          <w:kern w:val="0"/>
          <w:sz w:val="27"/>
          <w:szCs w:val="27"/>
          <w:lang w:eastAsia="fr-FR"/>
          <w14:ligatures w14:val="none"/>
        </w:rPr>
      </w:pPr>
      <w:proofErr w:type="gramStart"/>
      <w:r w:rsidRPr="008744E1">
        <w:rPr>
          <w:rFonts w:ascii="Times New Roman" w:eastAsia="Times New Roman" w:hAnsi="Times New Roman" w:cs="Times New Roman"/>
          <w:b/>
          <w:bCs/>
          <w:color w:val="3D3E40"/>
          <w:kern w:val="0"/>
          <w:sz w:val="27"/>
          <w:szCs w:val="27"/>
          <w:lang w:eastAsia="fr-FR"/>
          <w14:ligatures w14:val="none"/>
        </w:rPr>
        <w:t>omet</w:t>
      </w:r>
      <w:proofErr w:type="gramEnd"/>
      <w:r w:rsidRPr="008744E1">
        <w:rPr>
          <w:rFonts w:ascii="Times New Roman" w:eastAsia="Times New Roman" w:hAnsi="Times New Roman" w:cs="Times New Roman"/>
          <w:b/>
          <w:bCs/>
          <w:color w:val="3D3E40"/>
          <w:kern w:val="0"/>
          <w:sz w:val="27"/>
          <w:szCs w:val="27"/>
          <w:lang w:eastAsia="fr-FR"/>
          <w14:ligatures w14:val="none"/>
        </w:rPr>
        <w:t xml:space="preserve"> de rappeler que :</w:t>
      </w:r>
    </w:p>
    <w:p w14:paraId="194518E2" w14:textId="77777777" w:rsidR="008744E1" w:rsidRPr="008744E1" w:rsidRDefault="008744E1" w:rsidP="008744E1">
      <w:pPr>
        <w:numPr>
          <w:ilvl w:val="1"/>
          <w:numId w:val="5"/>
        </w:numPr>
        <w:shd w:val="clear" w:color="auto" w:fill="FFFFFF"/>
        <w:spacing w:before="100" w:beforeAutospacing="1" w:after="180" w:line="240" w:lineRule="auto"/>
        <w:ind w:left="2160"/>
        <w:jc w:val="both"/>
        <w:rPr>
          <w:rFonts w:ascii="Times New Roman" w:eastAsia="Times New Roman" w:hAnsi="Times New Roman" w:cs="Times New Roman"/>
          <w:color w:val="3D3E40"/>
          <w:kern w:val="0"/>
          <w:sz w:val="27"/>
          <w:szCs w:val="27"/>
          <w:lang w:eastAsia="fr-FR"/>
          <w14:ligatures w14:val="none"/>
        </w:rPr>
      </w:pPr>
      <w:proofErr w:type="gramStart"/>
      <w:r w:rsidRPr="008744E1">
        <w:rPr>
          <w:rFonts w:ascii="Times New Roman" w:eastAsia="Times New Roman" w:hAnsi="Times New Roman" w:cs="Times New Roman"/>
          <w:b/>
          <w:bCs/>
          <w:color w:val="3D3E40"/>
          <w:kern w:val="0"/>
          <w:sz w:val="27"/>
          <w:szCs w:val="27"/>
          <w:lang w:eastAsia="fr-FR"/>
          <w14:ligatures w14:val="none"/>
        </w:rPr>
        <w:t>la</w:t>
      </w:r>
      <w:proofErr w:type="gramEnd"/>
      <w:r w:rsidRPr="008744E1">
        <w:rPr>
          <w:rFonts w:ascii="Times New Roman" w:eastAsia="Times New Roman" w:hAnsi="Times New Roman" w:cs="Times New Roman"/>
          <w:b/>
          <w:bCs/>
          <w:color w:val="3D3E40"/>
          <w:kern w:val="0"/>
          <w:sz w:val="27"/>
          <w:szCs w:val="27"/>
          <w:lang w:eastAsia="fr-FR"/>
          <w14:ligatures w14:val="none"/>
        </w:rPr>
        <w:t xml:space="preserve"> responsabilité de l’Etat, </w:t>
      </w:r>
      <w:proofErr w:type="spellStart"/>
      <w:r w:rsidRPr="008744E1">
        <w:rPr>
          <w:rFonts w:ascii="Times New Roman" w:eastAsia="Times New Roman" w:hAnsi="Times New Roman" w:cs="Times New Roman"/>
          <w:b/>
          <w:bCs/>
          <w:color w:val="3D3E40"/>
          <w:kern w:val="0"/>
          <w:sz w:val="27"/>
          <w:szCs w:val="27"/>
          <w:lang w:eastAsia="fr-FR"/>
          <w14:ligatures w14:val="none"/>
        </w:rPr>
        <w:t>peut être</w:t>
      </w:r>
      <w:proofErr w:type="spellEnd"/>
      <w:r w:rsidRPr="008744E1">
        <w:rPr>
          <w:rFonts w:ascii="Times New Roman" w:eastAsia="Times New Roman" w:hAnsi="Times New Roman" w:cs="Times New Roman"/>
          <w:b/>
          <w:bCs/>
          <w:color w:val="3D3E40"/>
          <w:kern w:val="0"/>
          <w:sz w:val="27"/>
          <w:szCs w:val="27"/>
          <w:lang w:eastAsia="fr-FR"/>
          <w14:ligatures w14:val="none"/>
        </w:rPr>
        <w:t xml:space="preserve"> dans certains cas engagée, par une action récursoire. Mais les voies de ce type d’actions restent étroites. </w:t>
      </w:r>
    </w:p>
    <w:p w14:paraId="17040E61" w14:textId="213479A8" w:rsidR="00BD434F" w:rsidRPr="008744E1" w:rsidRDefault="008744E1" w:rsidP="00743D69">
      <w:pPr>
        <w:numPr>
          <w:ilvl w:val="1"/>
          <w:numId w:val="5"/>
        </w:numPr>
        <w:shd w:val="clear" w:color="auto" w:fill="FFFFFF"/>
        <w:spacing w:before="100" w:beforeAutospacing="1" w:after="180" w:line="240" w:lineRule="auto"/>
        <w:ind w:left="2160"/>
        <w:jc w:val="both"/>
      </w:pPr>
      <w:proofErr w:type="gramStart"/>
      <w:r w:rsidRPr="008744E1">
        <w:rPr>
          <w:rFonts w:ascii="Times New Roman" w:eastAsia="Times New Roman" w:hAnsi="Times New Roman" w:cs="Times New Roman"/>
          <w:b/>
          <w:bCs/>
          <w:color w:val="3D3E40"/>
          <w:kern w:val="0"/>
          <w:sz w:val="27"/>
          <w:szCs w:val="27"/>
          <w:lang w:eastAsia="fr-FR"/>
          <w14:ligatures w14:val="none"/>
        </w:rPr>
        <w:t>le</w:t>
      </w:r>
      <w:proofErr w:type="gramEnd"/>
      <w:r w:rsidRPr="008744E1">
        <w:rPr>
          <w:rFonts w:ascii="Times New Roman" w:eastAsia="Times New Roman" w:hAnsi="Times New Roman" w:cs="Times New Roman"/>
          <w:b/>
          <w:bCs/>
          <w:color w:val="3D3E40"/>
          <w:kern w:val="0"/>
          <w:sz w:val="27"/>
          <w:szCs w:val="27"/>
          <w:lang w:eastAsia="fr-FR"/>
          <w14:ligatures w14:val="none"/>
        </w:rPr>
        <w:t xml:space="preserve"> comptable (voire l’ordonnateur dans certains cas) ensuite pourrait voir sa responsabilité engagée si à cette occasion il a commis une infraction financière… </w:t>
      </w:r>
    </w:p>
    <w:p w14:paraId="322ABD65" w14:textId="3721CFD6" w:rsidR="008744E1" w:rsidRPr="008744E1" w:rsidRDefault="008744E1" w:rsidP="008744E1">
      <w:pPr>
        <w:shd w:val="clear" w:color="auto" w:fill="FFFFFF"/>
        <w:spacing w:before="100" w:beforeAutospacing="1" w:after="180" w:line="240" w:lineRule="auto"/>
        <w:jc w:val="both"/>
        <w:rPr>
          <w:rFonts w:eastAsia="Times New Roman" w:cs="Times New Roman"/>
          <w:b/>
          <w:bCs/>
          <w:color w:val="000000" w:themeColor="text1"/>
          <w:kern w:val="0"/>
          <w:sz w:val="36"/>
          <w:szCs w:val="36"/>
          <w:lang w:eastAsia="fr-FR"/>
          <w14:ligatures w14:val="none"/>
        </w:rPr>
      </w:pPr>
      <w:hyperlink r:id="rId13" w:tgtFrame="_blank" w:history="1">
        <w:r w:rsidRPr="008744E1">
          <w:rPr>
            <w:rStyle w:val="Accentuation"/>
            <w:b/>
            <w:bCs/>
            <w:color w:val="000000" w:themeColor="text1"/>
            <w:sz w:val="36"/>
            <w:szCs w:val="36"/>
            <w:u w:val="single"/>
            <w:shd w:val="clear" w:color="auto" w:fill="FFFFFF"/>
          </w:rPr>
          <w:t>Conseil d’État, 21 octobre 2024, Grand port maritime de Bordeaux c. Société Liebherr distribution et services France, n° 487929, aux tables du recueil Lebon</w:t>
        </w:r>
      </w:hyperlink>
    </w:p>
    <w:p w14:paraId="18AF0F1F" w14:textId="2915E470" w:rsidR="008744E1" w:rsidRPr="008744E1" w:rsidRDefault="008744E1" w:rsidP="008744E1">
      <w:pPr>
        <w:spacing w:after="0" w:line="240" w:lineRule="auto"/>
        <w:rPr>
          <w:rFonts w:ascii="Times New Roman" w:eastAsia="Times New Roman" w:hAnsi="Times New Roman" w:cs="Times New Roman"/>
          <w:kern w:val="0"/>
          <w:lang w:eastAsia="fr-FR"/>
          <w14:ligatures w14:val="none"/>
        </w:rPr>
      </w:pPr>
      <w:r w:rsidRPr="008744E1">
        <w:rPr>
          <w:rFonts w:ascii="Open Sans" w:eastAsia="Times New Roman" w:hAnsi="Open Sans" w:cs="Open Sans"/>
          <w:color w:val="474747"/>
          <w:kern w:val="0"/>
          <w:sz w:val="26"/>
          <w:szCs w:val="26"/>
          <w:lang w:eastAsia="fr-FR"/>
          <w14:ligatures w14:val="none"/>
        </w:rPr>
        <w:t>39-05-02 : Marchés et contrats administratifs- Exécution financière du contrat- Règlement des marchés-</w:t>
      </w:r>
      <w:r w:rsidRPr="008744E1">
        <w:rPr>
          <w:rFonts w:ascii="Open Sans" w:eastAsia="Times New Roman" w:hAnsi="Open Sans" w:cs="Open Sans"/>
          <w:color w:val="474747"/>
          <w:kern w:val="0"/>
          <w:sz w:val="26"/>
          <w:szCs w:val="26"/>
          <w:lang w:eastAsia="fr-FR"/>
          <w14:ligatures w14:val="none"/>
        </w:rPr>
        <w:br/>
        <w:t>Fraude sur l'identité du cocontractant ayant conduit au détournement des paiements de la personne publique - 1) Exonération de l'obligation de payer par le versement à un créancier apparent (art. 1342-3 c. civ.) - Absence - 2) Possibilité pour la personne publique d'invoquer des fautes du cocontractant ayant contribué à la fraude - a) Pour se soustraire à l'obligation de payer - Absence - b) Pour rechercher la responsabilité du cocontractant - Existence.</w:t>
      </w:r>
      <w:r w:rsidRPr="008744E1">
        <w:rPr>
          <w:rFonts w:ascii="Open Sans" w:eastAsia="Times New Roman" w:hAnsi="Open Sans" w:cs="Open Sans"/>
          <w:color w:val="474747"/>
          <w:kern w:val="0"/>
          <w:sz w:val="26"/>
          <w:szCs w:val="26"/>
          <w:lang w:eastAsia="fr-FR"/>
          <w14:ligatures w14:val="none"/>
        </w:rPr>
        <w:br/>
      </w:r>
      <w:r w:rsidRPr="008744E1">
        <w:rPr>
          <w:rFonts w:ascii="Open Sans" w:eastAsia="Times New Roman" w:hAnsi="Open Sans" w:cs="Open Sans"/>
          <w:color w:val="474747"/>
          <w:kern w:val="0"/>
          <w:sz w:val="26"/>
          <w:szCs w:val="26"/>
          <w:lang w:eastAsia="fr-FR"/>
          <w14:ligatures w14:val="none"/>
        </w:rPr>
        <w:br/>
      </w:r>
    </w:p>
    <w:p w14:paraId="0EE3E358" w14:textId="77777777" w:rsidR="008744E1" w:rsidRPr="008744E1" w:rsidRDefault="008744E1" w:rsidP="008744E1">
      <w:pPr>
        <w:spacing w:after="0" w:line="240" w:lineRule="auto"/>
        <w:rPr>
          <w:rFonts w:ascii="Open Sans" w:eastAsia="Times New Roman" w:hAnsi="Open Sans" w:cs="Open Sans"/>
          <w:kern w:val="0"/>
          <w:sz w:val="26"/>
          <w:szCs w:val="26"/>
          <w:lang w:eastAsia="fr-FR"/>
          <w14:ligatures w14:val="none"/>
        </w:rPr>
      </w:pPr>
      <w:r w:rsidRPr="008744E1">
        <w:rPr>
          <w:rFonts w:ascii="Times New Roman" w:eastAsia="Times New Roman" w:hAnsi="Times New Roman" w:cs="Times New Roman"/>
          <w:kern w:val="0"/>
          <w:lang w:eastAsia="fr-FR"/>
          <w14:ligatures w14:val="none"/>
        </w:rPr>
        <w:pict w14:anchorId="5A1953C2">
          <v:rect id="_x0000_i1025" style="width:0;height:1.5pt" o:hralign="center" o:hrstd="t" o:hrnoshade="t" o:hr="t" fillcolor="#474747" stroked="f"/>
        </w:pict>
      </w:r>
    </w:p>
    <w:p w14:paraId="106A41A1" w14:textId="57955A98" w:rsidR="008744E1" w:rsidRDefault="008744E1" w:rsidP="008744E1">
      <w:pPr>
        <w:shd w:val="clear" w:color="auto" w:fill="FFFFFF"/>
        <w:spacing w:before="100" w:beforeAutospacing="1" w:after="180" w:line="240" w:lineRule="auto"/>
        <w:jc w:val="both"/>
        <w:rPr>
          <w:rFonts w:ascii="Open Sans" w:eastAsia="Times New Roman" w:hAnsi="Open Sans" w:cs="Open Sans"/>
          <w:color w:val="474747"/>
          <w:kern w:val="0"/>
          <w:sz w:val="26"/>
          <w:szCs w:val="26"/>
          <w:lang w:eastAsia="fr-FR"/>
          <w14:ligatures w14:val="none"/>
        </w:rPr>
      </w:pPr>
      <w:r w:rsidRPr="008744E1">
        <w:rPr>
          <w:rFonts w:ascii="Open Sans" w:eastAsia="Times New Roman" w:hAnsi="Open Sans" w:cs="Open Sans"/>
          <w:color w:val="474747"/>
          <w:kern w:val="0"/>
          <w:sz w:val="26"/>
          <w:szCs w:val="26"/>
          <w:lang w:eastAsia="fr-FR"/>
          <w14:ligatures w14:val="none"/>
        </w:rPr>
        <w:br/>
        <w:t xml:space="preserve">Il appartient à une personne publique de procéder au paiement des sommes dues en exécution d'un contrat administratif en application des stipulations contractuelles, ce qui implique, le cas échéant, dans le cas d'une fraude tenant à l'usurpation de l'identité du cocontractant et ayant pour conséquence le détournement des paiements, que ces derniers soient renouvelés entre les mains du véritable créancier. 1) La personne publique ne peut ainsi utilement se prévaloir, pour contester le droit à paiement de son cocontractant sur un fondement contractuel, ni des dispositions de l'article 1342-3 du code civil relatives au créancier apparent, qui ne sont pas applicables aux contrats administratifs, 2) a) ni des manquements qu'aurait commis son cocontractant en communiquant des informations ayant rendu possible la </w:t>
      </w:r>
      <w:proofErr w:type="spellStart"/>
      <w:r w:rsidRPr="008744E1">
        <w:rPr>
          <w:rFonts w:ascii="Open Sans" w:eastAsia="Times New Roman" w:hAnsi="Open Sans" w:cs="Open Sans"/>
          <w:color w:val="474747"/>
          <w:kern w:val="0"/>
          <w:sz w:val="26"/>
          <w:szCs w:val="26"/>
          <w:lang w:eastAsia="fr-FR"/>
          <w14:ligatures w14:val="none"/>
        </w:rPr>
        <w:t>manoeuvre</w:t>
      </w:r>
      <w:proofErr w:type="spellEnd"/>
      <w:r w:rsidRPr="008744E1">
        <w:rPr>
          <w:rFonts w:ascii="Open Sans" w:eastAsia="Times New Roman" w:hAnsi="Open Sans" w:cs="Open Sans"/>
          <w:color w:val="474747"/>
          <w:kern w:val="0"/>
          <w:sz w:val="26"/>
          <w:szCs w:val="26"/>
          <w:lang w:eastAsia="fr-FR"/>
          <w14:ligatures w14:val="none"/>
        </w:rPr>
        <w:t xml:space="preserve"> frauduleuse. b) En revanche, la personne publique, si elle s'y croit fondée, peut rechercher, outre la responsabilité de l'auteur de la fraude, celle de son cocontractant, en raison des fautes que celui-ci aurait commises en contribuant à la commission de la fraude, afin d'être indemnisée de tout ou partie du préjudice qu'elle a subi en versant les sommes litigieuses à une autre personne que son créancier. Le juge peut, s'il est saisi de telles conclusions par la personne publique, procéder à la compensation partielle ou totale des créances respectives de celles-ci et de son cocontractant.</w:t>
      </w:r>
    </w:p>
    <w:p w14:paraId="21527DC2" w14:textId="77777777" w:rsidR="008744E1" w:rsidRDefault="008744E1" w:rsidP="008744E1">
      <w:pPr>
        <w:shd w:val="clear" w:color="auto" w:fill="FFFFFF"/>
        <w:spacing w:before="100" w:beforeAutospacing="1" w:after="180" w:line="240" w:lineRule="auto"/>
        <w:jc w:val="both"/>
        <w:rPr>
          <w:rFonts w:ascii="Open Sans" w:eastAsia="Times New Roman" w:hAnsi="Open Sans" w:cs="Open Sans"/>
          <w:color w:val="474747"/>
          <w:kern w:val="0"/>
          <w:sz w:val="26"/>
          <w:szCs w:val="26"/>
          <w:lang w:eastAsia="fr-FR"/>
          <w14:ligatures w14:val="none"/>
        </w:rPr>
      </w:pPr>
    </w:p>
    <w:p w14:paraId="7FDFB5DA" w14:textId="77777777" w:rsidR="008744E1" w:rsidRPr="008744E1" w:rsidRDefault="008744E1" w:rsidP="008744E1">
      <w:pPr>
        <w:shd w:val="clear" w:color="auto" w:fill="FFFFFF"/>
        <w:spacing w:before="100" w:beforeAutospacing="1" w:after="180" w:line="240" w:lineRule="auto"/>
        <w:jc w:val="both"/>
      </w:pPr>
    </w:p>
    <w:sectPr w:rsidR="008744E1" w:rsidRPr="008744E1">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451F3" w14:textId="77777777" w:rsidR="00883A55" w:rsidRDefault="00883A55" w:rsidP="005407F3">
      <w:pPr>
        <w:spacing w:after="0" w:line="240" w:lineRule="auto"/>
      </w:pPr>
      <w:r>
        <w:separator/>
      </w:r>
    </w:p>
  </w:endnote>
  <w:endnote w:type="continuationSeparator" w:id="0">
    <w:p w14:paraId="443AD256" w14:textId="77777777" w:rsidR="00883A55" w:rsidRDefault="00883A55" w:rsidP="00540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layfair Display">
    <w:charset w:val="00"/>
    <w:family w:val="auto"/>
    <w:pitch w:val="variable"/>
    <w:sig w:usb0="20000207" w:usb1="00000000" w:usb2="00000000" w:usb3="00000000" w:csb0="00000197"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7E17F" w14:textId="16BF23C1" w:rsidR="005407F3" w:rsidRDefault="005407F3">
    <w:pPr>
      <w:pStyle w:val="Pieddepage"/>
    </w:pPr>
    <w:r>
      <w:t>Mise à jour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96ED64" w14:textId="77777777" w:rsidR="00883A55" w:rsidRDefault="00883A55" w:rsidP="005407F3">
      <w:pPr>
        <w:spacing w:after="0" w:line="240" w:lineRule="auto"/>
      </w:pPr>
      <w:r>
        <w:separator/>
      </w:r>
    </w:p>
  </w:footnote>
  <w:footnote w:type="continuationSeparator" w:id="0">
    <w:p w14:paraId="0E5CDC22" w14:textId="77777777" w:rsidR="00883A55" w:rsidRDefault="00883A55" w:rsidP="005407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03FB4"/>
    <w:multiLevelType w:val="multilevel"/>
    <w:tmpl w:val="56FA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34059"/>
    <w:multiLevelType w:val="multilevel"/>
    <w:tmpl w:val="940C1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BB5EE2"/>
    <w:multiLevelType w:val="multilevel"/>
    <w:tmpl w:val="9A424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43103B"/>
    <w:multiLevelType w:val="multilevel"/>
    <w:tmpl w:val="CD6A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C17464"/>
    <w:multiLevelType w:val="multilevel"/>
    <w:tmpl w:val="D13E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1774133">
    <w:abstractNumId w:val="4"/>
  </w:num>
  <w:num w:numId="2" w16cid:durableId="1304971217">
    <w:abstractNumId w:val="0"/>
  </w:num>
  <w:num w:numId="3" w16cid:durableId="1028410025">
    <w:abstractNumId w:val="3"/>
  </w:num>
  <w:num w:numId="4" w16cid:durableId="844713334">
    <w:abstractNumId w:val="1"/>
  </w:num>
  <w:num w:numId="5" w16cid:durableId="17888930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4E1"/>
    <w:rsid w:val="00306E20"/>
    <w:rsid w:val="005407F3"/>
    <w:rsid w:val="008744E1"/>
    <w:rsid w:val="00883A55"/>
    <w:rsid w:val="00AF7E60"/>
    <w:rsid w:val="00BA5C2C"/>
    <w:rsid w:val="00BD434F"/>
    <w:rsid w:val="00BD4A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99E11"/>
  <w15:chartTrackingRefBased/>
  <w15:docId w15:val="{44D037A3-22C4-4965-B02B-2AAB9218A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744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744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744E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744E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744E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744E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744E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744E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744E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744E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744E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744E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744E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744E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744E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744E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744E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744E1"/>
    <w:rPr>
      <w:rFonts w:eastAsiaTheme="majorEastAsia" w:cstheme="majorBidi"/>
      <w:color w:val="272727" w:themeColor="text1" w:themeTint="D8"/>
    </w:rPr>
  </w:style>
  <w:style w:type="paragraph" w:styleId="Titre">
    <w:name w:val="Title"/>
    <w:basedOn w:val="Normal"/>
    <w:next w:val="Normal"/>
    <w:link w:val="TitreCar"/>
    <w:uiPriority w:val="10"/>
    <w:qFormat/>
    <w:rsid w:val="008744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44E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44E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44E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744E1"/>
    <w:pPr>
      <w:spacing w:before="160"/>
      <w:jc w:val="center"/>
    </w:pPr>
    <w:rPr>
      <w:i/>
      <w:iCs/>
      <w:color w:val="404040" w:themeColor="text1" w:themeTint="BF"/>
    </w:rPr>
  </w:style>
  <w:style w:type="character" w:customStyle="1" w:styleId="CitationCar">
    <w:name w:val="Citation Car"/>
    <w:basedOn w:val="Policepardfaut"/>
    <w:link w:val="Citation"/>
    <w:uiPriority w:val="29"/>
    <w:rsid w:val="008744E1"/>
    <w:rPr>
      <w:i/>
      <w:iCs/>
      <w:color w:val="404040" w:themeColor="text1" w:themeTint="BF"/>
    </w:rPr>
  </w:style>
  <w:style w:type="paragraph" w:styleId="Paragraphedeliste">
    <w:name w:val="List Paragraph"/>
    <w:basedOn w:val="Normal"/>
    <w:uiPriority w:val="34"/>
    <w:qFormat/>
    <w:rsid w:val="008744E1"/>
    <w:pPr>
      <w:ind w:left="720"/>
      <w:contextualSpacing/>
    </w:pPr>
  </w:style>
  <w:style w:type="character" w:styleId="Accentuationintense">
    <w:name w:val="Intense Emphasis"/>
    <w:basedOn w:val="Policepardfaut"/>
    <w:uiPriority w:val="21"/>
    <w:qFormat/>
    <w:rsid w:val="008744E1"/>
    <w:rPr>
      <w:i/>
      <w:iCs/>
      <w:color w:val="0F4761" w:themeColor="accent1" w:themeShade="BF"/>
    </w:rPr>
  </w:style>
  <w:style w:type="paragraph" w:styleId="Citationintense">
    <w:name w:val="Intense Quote"/>
    <w:basedOn w:val="Normal"/>
    <w:next w:val="Normal"/>
    <w:link w:val="CitationintenseCar"/>
    <w:uiPriority w:val="30"/>
    <w:qFormat/>
    <w:rsid w:val="008744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44E1"/>
    <w:rPr>
      <w:i/>
      <w:iCs/>
      <w:color w:val="0F4761" w:themeColor="accent1" w:themeShade="BF"/>
    </w:rPr>
  </w:style>
  <w:style w:type="character" w:styleId="Rfrenceintense">
    <w:name w:val="Intense Reference"/>
    <w:basedOn w:val="Policepardfaut"/>
    <w:uiPriority w:val="32"/>
    <w:qFormat/>
    <w:rsid w:val="008744E1"/>
    <w:rPr>
      <w:b/>
      <w:bCs/>
      <w:smallCaps/>
      <w:color w:val="0F4761" w:themeColor="accent1" w:themeShade="BF"/>
      <w:spacing w:val="5"/>
    </w:rPr>
  </w:style>
  <w:style w:type="character" w:styleId="Accentuation">
    <w:name w:val="Emphasis"/>
    <w:basedOn w:val="Policepardfaut"/>
    <w:uiPriority w:val="20"/>
    <w:qFormat/>
    <w:rsid w:val="008744E1"/>
    <w:rPr>
      <w:i/>
      <w:iCs/>
    </w:rPr>
  </w:style>
  <w:style w:type="paragraph" w:styleId="En-tte">
    <w:name w:val="header"/>
    <w:basedOn w:val="Normal"/>
    <w:link w:val="En-tteCar"/>
    <w:uiPriority w:val="99"/>
    <w:unhideWhenUsed/>
    <w:rsid w:val="005407F3"/>
    <w:pPr>
      <w:tabs>
        <w:tab w:val="center" w:pos="4536"/>
        <w:tab w:val="right" w:pos="9072"/>
      </w:tabs>
      <w:spacing w:after="0" w:line="240" w:lineRule="auto"/>
    </w:pPr>
  </w:style>
  <w:style w:type="character" w:customStyle="1" w:styleId="En-tteCar">
    <w:name w:val="En-tête Car"/>
    <w:basedOn w:val="Policepardfaut"/>
    <w:link w:val="En-tte"/>
    <w:uiPriority w:val="99"/>
    <w:rsid w:val="005407F3"/>
  </w:style>
  <w:style w:type="paragraph" w:styleId="Pieddepage">
    <w:name w:val="footer"/>
    <w:basedOn w:val="Normal"/>
    <w:link w:val="PieddepageCar"/>
    <w:uiPriority w:val="99"/>
    <w:unhideWhenUsed/>
    <w:rsid w:val="005407F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40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19150">
      <w:bodyDiv w:val="1"/>
      <w:marLeft w:val="0"/>
      <w:marRight w:val="0"/>
      <w:marTop w:val="0"/>
      <w:marBottom w:val="0"/>
      <w:divBdr>
        <w:top w:val="none" w:sz="0" w:space="0" w:color="auto"/>
        <w:left w:val="none" w:sz="0" w:space="0" w:color="auto"/>
        <w:bottom w:val="none" w:sz="0" w:space="0" w:color="auto"/>
        <w:right w:val="none" w:sz="0" w:space="0" w:color="auto"/>
      </w:divBdr>
      <w:divsChild>
        <w:div w:id="1274287257">
          <w:marLeft w:val="0"/>
          <w:marRight w:val="0"/>
          <w:marTop w:val="0"/>
          <w:marBottom w:val="0"/>
          <w:divBdr>
            <w:top w:val="none" w:sz="0" w:space="0" w:color="auto"/>
            <w:left w:val="none" w:sz="0" w:space="0" w:color="auto"/>
            <w:bottom w:val="none" w:sz="0" w:space="0" w:color="auto"/>
            <w:right w:val="none" w:sz="0" w:space="0" w:color="auto"/>
          </w:divBdr>
        </w:div>
      </w:divsChild>
    </w:div>
    <w:div w:id="1608846706">
      <w:bodyDiv w:val="1"/>
      <w:marLeft w:val="0"/>
      <w:marRight w:val="0"/>
      <w:marTop w:val="0"/>
      <w:marBottom w:val="0"/>
      <w:divBdr>
        <w:top w:val="none" w:sz="0" w:space="0" w:color="auto"/>
        <w:left w:val="none" w:sz="0" w:space="0" w:color="auto"/>
        <w:bottom w:val="none" w:sz="0" w:space="0" w:color="auto"/>
        <w:right w:val="none" w:sz="0" w:space="0" w:color="auto"/>
      </w:divBdr>
    </w:div>
    <w:div w:id="1624269314">
      <w:bodyDiv w:val="1"/>
      <w:marLeft w:val="0"/>
      <w:marRight w:val="0"/>
      <w:marTop w:val="0"/>
      <w:marBottom w:val="0"/>
      <w:divBdr>
        <w:top w:val="none" w:sz="0" w:space="0" w:color="auto"/>
        <w:left w:val="none" w:sz="0" w:space="0" w:color="auto"/>
        <w:bottom w:val="none" w:sz="0" w:space="0" w:color="auto"/>
        <w:right w:val="none" w:sz="0" w:space="0" w:color="auto"/>
      </w:divBdr>
    </w:div>
    <w:div w:id="16901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landot-avocats.net/category/breves-et-articles/" TargetMode="External"/><Relationship Id="rId13" Type="http://schemas.openxmlformats.org/officeDocument/2006/relationships/hyperlink" Target="http://www.conseil-etat.fr/fr/arianeweb/CE/decision/2024-10-21/487929" TargetMode="External"/><Relationship Id="rId3" Type="http://schemas.openxmlformats.org/officeDocument/2006/relationships/settings" Target="settings.xml"/><Relationship Id="rId7" Type="http://schemas.openxmlformats.org/officeDocument/2006/relationships/hyperlink" Target="https://blog.landot-avocats.net/2024/10/22/fraude-au-paiement-par-usurpation-de-lidentite-du-cocontractant-le-conseil-detat-confirme-que-cest-a-la-personne-publique-quil-incombe-de-payer-quitte-a-envisager-une-action-recursoire/" TargetMode="External"/><Relationship Id="rId12" Type="http://schemas.openxmlformats.org/officeDocument/2006/relationships/hyperlink" Target="https://blog.landot-avocats.net/2018/06/19/un-escroc-encaisse-le-virement-payant-la-facture-dun-fournisseur-dune-personne-publique-faut-il-alors-neanmoins-payer-le-fournisseur-au-risque-dun-double-decaissemen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log.landot-avocats.net/wp-content/uploads/2018/06/17pa03697.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log.landot-avocats.net/category/ressources-et-institutions/" TargetMode="External"/><Relationship Id="rId4" Type="http://schemas.openxmlformats.org/officeDocument/2006/relationships/webSettings" Target="webSettings.xml"/><Relationship Id="rId9" Type="http://schemas.openxmlformats.org/officeDocument/2006/relationships/hyperlink" Target="https://blog.landot-avocats.net/category/contrats-gestion-publique-et-amenagement/"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1261</Words>
  <Characters>6939</Characters>
  <Application>Microsoft Office Word</Application>
  <DocSecurity>0</DocSecurity>
  <Lines>57</Lines>
  <Paragraphs>16</Paragraphs>
  <ScaleCrop>false</ScaleCrop>
  <HeadingPairs>
    <vt:vector size="4" baseType="variant">
      <vt:variant>
        <vt:lpstr>Titre</vt:lpstr>
      </vt:variant>
      <vt:variant>
        <vt:i4>1</vt:i4>
      </vt:variant>
      <vt:variant>
        <vt:lpstr>Titres</vt:lpstr>
      </vt:variant>
      <vt:variant>
        <vt:i4>3</vt:i4>
      </vt:variant>
    </vt:vector>
  </HeadingPairs>
  <TitlesOfParts>
    <vt:vector size="4" baseType="lpstr">
      <vt:lpstr/>
      <vt:lpstr>Fraude au paiement par usurpation de l’identité du cocontractant : le Conseil d’</vt:lpstr>
      <vt:lpstr/>
      <vt:lpstr>        I. Le Conseil d’Etat confirme que c’est à la personne publique qu’il incombe de </vt:lpstr>
    </vt:vector>
  </TitlesOfParts>
  <Company>GRAND PORT MARITIME DE MARSEILLE</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2</cp:revision>
  <dcterms:created xsi:type="dcterms:W3CDTF">2024-10-22T11:56:00Z</dcterms:created>
  <dcterms:modified xsi:type="dcterms:W3CDTF">2024-10-22T12:09:00Z</dcterms:modified>
</cp:coreProperties>
</file>