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8092F" w14:textId="104A65F4" w:rsidR="00BD434F" w:rsidRPr="008F2C14" w:rsidRDefault="008F2C14" w:rsidP="008F2C14">
      <w:pPr>
        <w:jc w:val="center"/>
        <w:rPr>
          <w:b/>
          <w:bCs/>
          <w:color w:val="7030A0"/>
          <w:sz w:val="28"/>
          <w:szCs w:val="28"/>
        </w:rPr>
      </w:pPr>
      <w:r w:rsidRPr="008F2C14">
        <w:rPr>
          <w:b/>
          <w:bCs/>
          <w:color w:val="7030A0"/>
          <w:sz w:val="28"/>
          <w:szCs w:val="28"/>
        </w:rPr>
        <w:t>REQUISITION</w:t>
      </w:r>
    </w:p>
    <w:p w14:paraId="0B1090FC" w14:textId="409BBE1A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 xml:space="preserve">Le droit de réquisition est prévu par </w:t>
      </w:r>
      <w:r w:rsidR="001C549C">
        <w:rPr>
          <w:rFonts w:cs="Verdana"/>
          <w:color w:val="002060"/>
          <w:kern w:val="0"/>
        </w:rPr>
        <w:t>la GBCP</w:t>
      </w:r>
      <w:r w:rsidRPr="008F2C14">
        <w:rPr>
          <w:rFonts w:cs="Verdana"/>
          <w:color w:val="002060"/>
          <w:kern w:val="0"/>
        </w:rPr>
        <w:t>.</w:t>
      </w:r>
    </w:p>
    <w:p w14:paraId="39E6E459" w14:textId="734A5015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>Sur la forme, i</w:t>
      </w:r>
      <w:r w:rsidR="008F2C14" w:rsidRPr="008F2C14">
        <w:rPr>
          <w:rFonts w:cs="Verdana"/>
          <w:color w:val="002060"/>
          <w:kern w:val="0"/>
        </w:rPr>
        <w:t>l convient donc de s’inspirer des dispositions prévues notamment par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l’instruction codificatrice N° 02-035-M93 du 29 avril 2002 applicable aux EPSCP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ou bien encore par les instructions applicables aux secteur public local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(instructions CP n°84-40-M0 du 8 mars 1984, n°94-118-M0 du 12 décembre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1994).</w:t>
      </w:r>
    </w:p>
    <w:p w14:paraId="08A210C4" w14:textId="25672B4D" w:rsidR="008F2C14" w:rsidRPr="001C549C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La réquisition est conditionnée par une suspension de paiement par le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comptable</w:t>
      </w:r>
      <w:r w:rsidR="001C549C">
        <w:rPr>
          <w:rFonts w:cs="Verdana"/>
          <w:color w:val="002060"/>
          <w:kern w:val="0"/>
        </w:rPr>
        <w:t xml:space="preserve"> et elle </w:t>
      </w:r>
      <w:r w:rsidRPr="008F2C14">
        <w:rPr>
          <w:rFonts w:cs="Verdana"/>
          <w:color w:val="002060"/>
          <w:kern w:val="0"/>
        </w:rPr>
        <w:t xml:space="preserve">doit être </w:t>
      </w:r>
      <w:r w:rsidRPr="001C549C">
        <w:rPr>
          <w:rFonts w:cs="Verdana"/>
          <w:b/>
          <w:bCs/>
          <w:color w:val="002060"/>
          <w:kern w:val="0"/>
          <w:u w:val="single"/>
        </w:rPr>
        <w:t>motivée</w:t>
      </w:r>
      <w:r w:rsidRPr="008F2C14">
        <w:rPr>
          <w:rFonts w:cs="Verdana"/>
          <w:color w:val="002060"/>
          <w:kern w:val="0"/>
        </w:rPr>
        <w:t xml:space="preserve">. </w:t>
      </w:r>
      <w:r w:rsidRPr="008F2C14">
        <w:rPr>
          <w:rFonts w:cs="Verdana,Italic"/>
          <w:i/>
          <w:iCs/>
          <w:color w:val="002060"/>
          <w:kern w:val="0"/>
        </w:rPr>
        <w:t>« Lorsque, à</w:t>
      </w:r>
      <w:r>
        <w:rPr>
          <w:rFonts w:cs="Verdana,Italic"/>
          <w:i/>
          <w:iCs/>
          <w:color w:val="002060"/>
          <w:kern w:val="0"/>
        </w:rPr>
        <w:t xml:space="preserve"> </w:t>
      </w:r>
      <w:r w:rsidRPr="008F2C14">
        <w:rPr>
          <w:rFonts w:cs="Verdana,Italic"/>
          <w:i/>
          <w:iCs/>
          <w:color w:val="002060"/>
          <w:kern w:val="0"/>
        </w:rPr>
        <w:t>l'occasion de l'exercice du contrôle prévu à l'article 12 (alinéa B) ci-dessus, des</w:t>
      </w:r>
      <w:r>
        <w:rPr>
          <w:rFonts w:cs="Verdana,Italic"/>
          <w:i/>
          <w:iCs/>
          <w:color w:val="002060"/>
          <w:kern w:val="0"/>
        </w:rPr>
        <w:t xml:space="preserve"> </w:t>
      </w:r>
      <w:r w:rsidRPr="008F2C14">
        <w:rPr>
          <w:rFonts w:cs="Verdana,Italic"/>
          <w:i/>
          <w:iCs/>
          <w:color w:val="002060"/>
          <w:kern w:val="0"/>
        </w:rPr>
        <w:t>irrégularités sont constatées, les comptables publics suspendent les paiements et</w:t>
      </w:r>
      <w:r>
        <w:rPr>
          <w:rFonts w:cs="Verdana,Italic"/>
          <w:i/>
          <w:iCs/>
          <w:color w:val="002060"/>
          <w:kern w:val="0"/>
        </w:rPr>
        <w:t xml:space="preserve"> </w:t>
      </w:r>
      <w:r w:rsidRPr="008F2C14">
        <w:rPr>
          <w:rFonts w:cs="Verdana,Italic"/>
          <w:i/>
          <w:iCs/>
          <w:color w:val="002060"/>
          <w:kern w:val="0"/>
        </w:rPr>
        <w:t>en informent l'ordonnateur. Les paiements sont également suspendus lorsque les</w:t>
      </w:r>
      <w:r>
        <w:rPr>
          <w:rFonts w:cs="Verdana,Italic"/>
          <w:i/>
          <w:iCs/>
          <w:color w:val="002060"/>
          <w:kern w:val="0"/>
        </w:rPr>
        <w:t xml:space="preserve"> </w:t>
      </w:r>
      <w:r w:rsidRPr="008F2C14">
        <w:rPr>
          <w:rFonts w:cs="Verdana,Italic"/>
          <w:i/>
          <w:iCs/>
          <w:color w:val="002060"/>
          <w:kern w:val="0"/>
        </w:rPr>
        <w:t>comptables publics ont pu établir que les certification</w:t>
      </w:r>
      <w:r w:rsidR="001C549C">
        <w:rPr>
          <w:rFonts w:cs="Verdana,Italic"/>
          <w:i/>
          <w:iCs/>
          <w:color w:val="002060"/>
          <w:kern w:val="0"/>
        </w:rPr>
        <w:t xml:space="preserve">s </w:t>
      </w:r>
      <w:r w:rsidRPr="008F2C14">
        <w:rPr>
          <w:rFonts w:cs="Verdana,Italic"/>
          <w:i/>
          <w:iCs/>
          <w:color w:val="002060"/>
          <w:kern w:val="0"/>
        </w:rPr>
        <w:t>sont inexactes. »</w:t>
      </w:r>
    </w:p>
    <w:p w14:paraId="03DEBFA6" w14:textId="30558AA8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>L’agent</w:t>
      </w:r>
      <w:r w:rsidR="008F2C14" w:rsidRPr="008F2C14">
        <w:rPr>
          <w:rFonts w:cs="Verdana"/>
          <w:color w:val="002060"/>
          <w:kern w:val="0"/>
        </w:rPr>
        <w:t xml:space="preserve"> comptable doit refuser de prendre en charge les mandats proposés par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l'ordonnateur, dans les cas suivants :</w:t>
      </w:r>
    </w:p>
    <w:p w14:paraId="136B02ED" w14:textId="43BA38C6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mandats émis par une personne autre que l'ordonnateur ou son délégué ;</w:t>
      </w:r>
    </w:p>
    <w:p w14:paraId="263C8AC3" w14:textId="77777777" w:rsidR="001C549C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inexactitude des certifications délivrées par l'ordonnateur ;</w:t>
      </w:r>
    </w:p>
    <w:p w14:paraId="603B1683" w14:textId="64F9BDE9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absence ou insuffisance de crédits ;</w:t>
      </w:r>
    </w:p>
    <w:p w14:paraId="1BB9E875" w14:textId="7C6E3A9B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erreurs de liquidation ;</w:t>
      </w:r>
    </w:p>
    <w:p w14:paraId="7F19C4B7" w14:textId="1DE6C35A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insuffisance ou inexistence des justifications du service fait (il n'y a pas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absence de service fait lorsque l'ordonnateur établit sous sa responsabilité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une attestation certifiant que le service a été fait et justifiant le droit du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créancier au paiement correspondant) ;</w:t>
      </w:r>
    </w:p>
    <w:p w14:paraId="1A9CA6E8" w14:textId="774F42BD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omission ou irrégularité matérielle des pièces justificatives ;</w:t>
      </w:r>
    </w:p>
    <w:p w14:paraId="4B4CEBA1" w14:textId="0A8A4A88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absence de l’intervention préalable des contrôles réglementaires, et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notamment absence du visa du contrôle financier si ce visa est obligatoire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;</w:t>
      </w:r>
    </w:p>
    <w:p w14:paraId="795A73FD" w14:textId="77777777" w:rsidR="001C549C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créances atteintes par la prescription</w:t>
      </w:r>
      <w:r>
        <w:rPr>
          <w:rFonts w:cs="Verdana"/>
          <w:color w:val="002060"/>
          <w:kern w:val="0"/>
        </w:rPr>
        <w:t xml:space="preserve"> : </w:t>
      </w:r>
      <w:r w:rsidR="008F2C14" w:rsidRPr="008F2C14">
        <w:rPr>
          <w:rFonts w:cs="Verdana"/>
          <w:color w:val="002060"/>
          <w:kern w:val="0"/>
        </w:rPr>
        <w:t>une créance n'est valide que si elle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 xml:space="preserve">dispose d'une base juridique. </w:t>
      </w:r>
    </w:p>
    <w:p w14:paraId="6CC1843A" w14:textId="70B56116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Ainsi, une dépense non prévue par la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réglementation, voire contraire à cette réglementation, et mandatée par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l'ordonnateur doit donner lieu à suspension de paiement et réquisition si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l'ordonnateur persiste dans son intention.</w:t>
      </w:r>
    </w:p>
    <w:p w14:paraId="63AB2026" w14:textId="77777777" w:rsidR="001C549C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</w:p>
    <w:p w14:paraId="56FA95E9" w14:textId="1E209970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L'agent comptable doit par ailleurs refuser de procéder au paiement si :</w:t>
      </w:r>
    </w:p>
    <w:p w14:paraId="6655FAC3" w14:textId="77777777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- les disponibilités de l'établissement sont insuffisantes ;</w:t>
      </w:r>
    </w:p>
    <w:p w14:paraId="7722B23A" w14:textId="2D2AA06B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- le règlement prévu ne présente pas un caractère libératoire</w:t>
      </w:r>
      <w:r w:rsidR="001C549C">
        <w:rPr>
          <w:rFonts w:cs="Verdana"/>
          <w:color w:val="002060"/>
          <w:kern w:val="0"/>
        </w:rPr>
        <w:t xml:space="preserve"> (</w:t>
      </w:r>
      <w:r w:rsidRPr="008F2C14">
        <w:rPr>
          <w:rFonts w:cs="Verdana"/>
          <w:color w:val="002060"/>
          <w:kern w:val="0"/>
        </w:rPr>
        <w:t xml:space="preserve">mode de règlement proposé </w:t>
      </w:r>
      <w:r w:rsidR="001C549C">
        <w:rPr>
          <w:rFonts w:cs="Verdana"/>
          <w:color w:val="002060"/>
          <w:kern w:val="0"/>
        </w:rPr>
        <w:t>non</w:t>
      </w:r>
      <w:r w:rsidRPr="008F2C14">
        <w:rPr>
          <w:rFonts w:cs="Verdana"/>
          <w:color w:val="002060"/>
          <w:kern w:val="0"/>
        </w:rPr>
        <w:t xml:space="preserve"> réglementaire,</w:t>
      </w:r>
      <w:r w:rsidR="001C549C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bénéficiaire du règlement n'est pas le véritable créancier ou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son représentant</w:t>
      </w:r>
      <w:r w:rsidR="001C549C">
        <w:rPr>
          <w:rFonts w:cs="Verdana"/>
          <w:color w:val="002060"/>
          <w:kern w:val="0"/>
        </w:rPr>
        <w:t>)</w:t>
      </w:r>
      <w:r w:rsidRPr="008F2C14">
        <w:rPr>
          <w:rFonts w:cs="Verdana"/>
          <w:color w:val="002060"/>
          <w:kern w:val="0"/>
        </w:rPr>
        <w:t>.</w:t>
      </w:r>
    </w:p>
    <w:p w14:paraId="16DE85DE" w14:textId="5758E5B6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Lorsque l'agent comptable se trouve dans l'une des situations donnant lieu à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refus de prise en charge, il doit suspendre le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paiement.</w:t>
      </w:r>
    </w:p>
    <w:p w14:paraId="010FF817" w14:textId="77777777" w:rsidR="001C549C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</w:p>
    <w:p w14:paraId="29A76816" w14:textId="2BA6ED66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Il informe l'ordonnateur de cette suspension de paiement</w:t>
      </w:r>
      <w:r w:rsidR="001C549C">
        <w:rPr>
          <w:rFonts w:cs="Verdana"/>
          <w:color w:val="002060"/>
          <w:kern w:val="0"/>
        </w:rPr>
        <w:t xml:space="preserve"> et </w:t>
      </w:r>
      <w:r w:rsidRPr="008F2C14">
        <w:rPr>
          <w:rFonts w:cs="Verdana"/>
          <w:color w:val="002060"/>
          <w:kern w:val="0"/>
        </w:rPr>
        <w:t>établit, à cet effet,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une déclaration écrite énonçant notamment les motifs qui l'ont conduit à prendre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cette décision et l'adresse immédiatement à l'ordonnateur. </w:t>
      </w:r>
      <w:r w:rsidRPr="008F2C14">
        <w:rPr>
          <w:rFonts w:cs="Verdana,Bold"/>
          <w:b/>
          <w:bCs/>
          <w:color w:val="002060"/>
          <w:kern w:val="0"/>
        </w:rPr>
        <w:t>Les motifs invoqués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doivent obligatoirement être l'un des cas décrits ci-dessus et s'il existe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plusieurs motifs, ces derniers sont tous précisés</w:t>
      </w:r>
      <w:r w:rsidRPr="008F2C14">
        <w:rPr>
          <w:rFonts w:cs="Verdana"/>
          <w:color w:val="002060"/>
          <w:kern w:val="0"/>
        </w:rPr>
        <w:t>.</w:t>
      </w:r>
    </w:p>
    <w:p w14:paraId="3068A2D1" w14:textId="5D819E42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A la diligence de l’agent comptable, le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rejet </w:t>
      </w:r>
      <w:r w:rsidR="001C549C">
        <w:rPr>
          <w:rFonts w:cs="Verdana"/>
          <w:color w:val="002060"/>
          <w:kern w:val="0"/>
        </w:rPr>
        <w:t xml:space="preserve">doit </w:t>
      </w:r>
      <w:r w:rsidRPr="008F2C14">
        <w:rPr>
          <w:rFonts w:cs="Verdana"/>
          <w:color w:val="002060"/>
          <w:kern w:val="0"/>
        </w:rPr>
        <w:t>apparaît</w:t>
      </w:r>
      <w:r w:rsidR="001C549C">
        <w:rPr>
          <w:rFonts w:cs="Verdana"/>
          <w:color w:val="002060"/>
          <w:kern w:val="0"/>
        </w:rPr>
        <w:t>re</w:t>
      </w:r>
      <w:r w:rsidRPr="008F2C14">
        <w:rPr>
          <w:rFonts w:cs="Verdana"/>
          <w:color w:val="002060"/>
          <w:kern w:val="0"/>
        </w:rPr>
        <w:t xml:space="preserve"> de façon significative </w:t>
      </w:r>
      <w:r w:rsidR="001C549C">
        <w:rPr>
          <w:rFonts w:cs="Verdana"/>
          <w:color w:val="002060"/>
          <w:kern w:val="0"/>
        </w:rPr>
        <w:t>(</w:t>
      </w:r>
      <w:r w:rsidRPr="008F2C14">
        <w:rPr>
          <w:rFonts w:cs="Verdana"/>
          <w:color w:val="002060"/>
          <w:kern w:val="0"/>
        </w:rPr>
        <w:t xml:space="preserve">bordereau-journal </w:t>
      </w:r>
      <w:r w:rsidR="001C549C">
        <w:rPr>
          <w:rFonts w:cs="Verdana"/>
          <w:color w:val="002060"/>
          <w:kern w:val="0"/>
        </w:rPr>
        <w:t xml:space="preserve">ou workflow si </w:t>
      </w:r>
      <w:r w:rsidR="00021EC6">
        <w:rPr>
          <w:rFonts w:cs="Verdana"/>
          <w:color w:val="002060"/>
          <w:kern w:val="0"/>
        </w:rPr>
        <w:t>dématérialisation</w:t>
      </w:r>
      <w:r w:rsidR="001C549C">
        <w:rPr>
          <w:rFonts w:cs="Verdana"/>
          <w:color w:val="002060"/>
          <w:kern w:val="0"/>
        </w:rPr>
        <w:t>)</w:t>
      </w:r>
      <w:r w:rsidRPr="008F2C14">
        <w:rPr>
          <w:rFonts w:cs="Verdana"/>
          <w:color w:val="002060"/>
          <w:kern w:val="0"/>
        </w:rPr>
        <w:t>.</w:t>
      </w:r>
    </w:p>
    <w:p w14:paraId="5CA329D4" w14:textId="77777777" w:rsidR="001C549C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Lorsque le comptable notifie sa décision de suspendre le paiement d'une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dépense, l’ordonnateur peut lui adresser un ordre de réquisition. </w:t>
      </w:r>
    </w:p>
    <w:p w14:paraId="06F37A34" w14:textId="65C1F364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Le comptable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s'y conforme aussitôt, </w:t>
      </w:r>
      <w:r w:rsidRPr="001C549C">
        <w:rPr>
          <w:rFonts w:cs="Verdana"/>
          <w:b/>
          <w:bCs/>
          <w:color w:val="002060"/>
          <w:kern w:val="0"/>
        </w:rPr>
        <w:t xml:space="preserve">sauf </w:t>
      </w:r>
      <w:r w:rsidRPr="008F2C14">
        <w:rPr>
          <w:rFonts w:cs="Verdana"/>
          <w:color w:val="002060"/>
          <w:kern w:val="0"/>
        </w:rPr>
        <w:t>en cas :</w:t>
      </w:r>
    </w:p>
    <w:p w14:paraId="45A3C1E8" w14:textId="054F58E9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d'insuffisance de fonds disponibles ;</w:t>
      </w:r>
    </w:p>
    <w:p w14:paraId="561B464D" w14:textId="504F9E30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lastRenderedPageBreak/>
        <w:t xml:space="preserve">* </w:t>
      </w:r>
      <w:r w:rsidR="008F2C14" w:rsidRPr="008F2C14">
        <w:rPr>
          <w:rFonts w:cs="Verdana"/>
          <w:color w:val="002060"/>
          <w:kern w:val="0"/>
        </w:rPr>
        <w:t>de dépense ordonnancée sur des crédits irrégulièrement ouverts ou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insuffisants ou sur des crédits autres que ceux sur lesquels elle</w:t>
      </w:r>
      <w:r w:rsidR="008F2C14">
        <w:rPr>
          <w:rFonts w:cs="Verdana"/>
          <w:color w:val="002060"/>
          <w:kern w:val="0"/>
        </w:rPr>
        <w:t xml:space="preserve"> </w:t>
      </w:r>
      <w:r w:rsidR="008F2C14" w:rsidRPr="008F2C14">
        <w:rPr>
          <w:rFonts w:cs="Verdana"/>
          <w:color w:val="002060"/>
          <w:kern w:val="0"/>
        </w:rPr>
        <w:t>devrait être imputée ;</w:t>
      </w:r>
    </w:p>
    <w:p w14:paraId="6F64DF39" w14:textId="0404AA02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d'absence totale de justification du service fait ;</w:t>
      </w:r>
    </w:p>
    <w:p w14:paraId="0BD47317" w14:textId="0BC8BE29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de défaut du caractère libératoire du règlement ;</w:t>
      </w:r>
    </w:p>
    <w:p w14:paraId="704FE3B0" w14:textId="4060DFAD" w:rsidR="008F2C14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>
        <w:rPr>
          <w:rFonts w:cs="Verdana"/>
          <w:color w:val="002060"/>
          <w:kern w:val="0"/>
        </w:rPr>
        <w:t xml:space="preserve">* </w:t>
      </w:r>
      <w:r w:rsidR="008F2C14" w:rsidRPr="008F2C14">
        <w:rPr>
          <w:rFonts w:cs="Verdana"/>
          <w:color w:val="002060"/>
          <w:kern w:val="0"/>
        </w:rPr>
        <w:t>absence de visa du contrôleur financier quand celui-ci est obligatoire</w:t>
      </w:r>
    </w:p>
    <w:p w14:paraId="2C89A8A5" w14:textId="77777777" w:rsidR="001C549C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</w:p>
    <w:p w14:paraId="43DEC8D4" w14:textId="5F71D1C7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1C549C">
        <w:rPr>
          <w:rFonts w:cs="Verdana"/>
          <w:b/>
          <w:bCs/>
          <w:color w:val="002060"/>
          <w:kern w:val="0"/>
        </w:rPr>
        <w:t>En cas de réquisition, l’ordonnateur engage sa responsabilité propre</w:t>
      </w:r>
      <w:r w:rsidRPr="008F2C14">
        <w:rPr>
          <w:rFonts w:cs="Verdana"/>
          <w:color w:val="002060"/>
          <w:kern w:val="0"/>
        </w:rPr>
        <w:t>.</w:t>
      </w:r>
    </w:p>
    <w:p w14:paraId="15F40B07" w14:textId="07348DA1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02060"/>
          <w:kern w:val="0"/>
        </w:rPr>
      </w:pPr>
      <w:r w:rsidRPr="008F2C14">
        <w:rPr>
          <w:rFonts w:cs="Verdana,Bold"/>
          <w:b/>
          <w:bCs/>
          <w:color w:val="002060"/>
          <w:kern w:val="0"/>
        </w:rPr>
        <w:t>S’agissant de la réquisition de paiement, il est rappelé que, pour être un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acte juridiquement valable, elle doit être :</w:t>
      </w:r>
    </w:p>
    <w:p w14:paraId="4E57B893" w14:textId="77777777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- écrite et signée par l’ordonnateur ;</w:t>
      </w:r>
    </w:p>
    <w:p w14:paraId="7C9BED42" w14:textId="1A9526EA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Italic"/>
          <w:i/>
          <w:iCs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 xml:space="preserve">- incontestable, c’est-à-dire, </w:t>
      </w:r>
      <w:r w:rsidRPr="008F2C14">
        <w:rPr>
          <w:rFonts w:cs="Verdana,Italic"/>
          <w:i/>
          <w:iCs/>
          <w:color w:val="002060"/>
          <w:kern w:val="0"/>
        </w:rPr>
        <w:t>« ne laisser aucune ambiguïté sur</w:t>
      </w:r>
      <w:r>
        <w:rPr>
          <w:rFonts w:cs="Verdana,Italic"/>
          <w:i/>
          <w:iCs/>
          <w:color w:val="002060"/>
          <w:kern w:val="0"/>
        </w:rPr>
        <w:t xml:space="preserve"> </w:t>
      </w:r>
      <w:r w:rsidRPr="008F2C14">
        <w:rPr>
          <w:rFonts w:cs="Verdana,Italic"/>
          <w:i/>
          <w:iCs/>
          <w:color w:val="002060"/>
          <w:kern w:val="0"/>
        </w:rPr>
        <w:t xml:space="preserve">l’intention de l’ordonnateur de passer outre à la suspension » </w:t>
      </w:r>
      <w:r w:rsidRPr="008F2C14">
        <w:rPr>
          <w:rFonts w:cs="Verdana"/>
          <w:color w:val="002060"/>
          <w:kern w:val="0"/>
        </w:rPr>
        <w:t>;</w:t>
      </w:r>
    </w:p>
    <w:p w14:paraId="1CEAFEC2" w14:textId="79BE9B47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- présentée sous la forme d’une pièce justificative qui vient s’ajouter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aux justifications de la dépense.</w:t>
      </w:r>
    </w:p>
    <w:p w14:paraId="6197B651" w14:textId="6702AAFC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Une simple annotation ne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saurait être assimilée à un ordre de réquisition.</w:t>
      </w:r>
    </w:p>
    <w:p w14:paraId="2F745E7B" w14:textId="77777777" w:rsidR="001C549C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</w:p>
    <w:p w14:paraId="6750E397" w14:textId="77777777" w:rsidR="001C549C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Par ailleurs, il importe, afin que la responsabilité du comptable se trouve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dégagée, que la réquisition, qui constitue à la fois le support fondant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juridiquement la dépense et la pièce justificative, soit elle-même régulière, à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savoir qu’elle réponde aux conditions de forme rappelées ci-dessus et qu’elle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comporte tous les éléments de liquidation de la dépense afin de permettre au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comptable de s’assurer qu’il ne se trouve pas dans l’un des cas de refus de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déférer à la réquisition. En effet, la réquisition de paiement n’exonère pas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nécessairement le comptable de sa responsabilité. </w:t>
      </w:r>
    </w:p>
    <w:p w14:paraId="4BF9E3BE" w14:textId="1E596A54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Le juge des comptes dispose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en effet du pouvoir de mettre en débet un comptable qui a payé sur réquisition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mais a négligé de signaler une ou plusieurs irrégularités justifiant la suspension</w:t>
      </w:r>
      <w:r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de paiement.</w:t>
      </w:r>
    </w:p>
    <w:p w14:paraId="740588DC" w14:textId="77777777" w:rsidR="001C549C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02060"/>
          <w:kern w:val="0"/>
        </w:rPr>
      </w:pPr>
      <w:r w:rsidRPr="008F2C14">
        <w:rPr>
          <w:rFonts w:cs="Verdana,Bold"/>
          <w:b/>
          <w:bCs/>
          <w:color w:val="002060"/>
          <w:kern w:val="0"/>
        </w:rPr>
        <w:t>Il est précisé que pour les dépenses répétitives ou donnant lieu à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plusieurs paiements, si la réquisition est régulière pour le premier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paiement, elle est dénuée de toute valeur juridique pour les paiements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 xml:space="preserve">ultérieurs. </w:t>
      </w:r>
    </w:p>
    <w:p w14:paraId="72070C5F" w14:textId="77777777" w:rsidR="001C549C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02060"/>
          <w:kern w:val="0"/>
        </w:rPr>
      </w:pPr>
      <w:r w:rsidRPr="008F2C14">
        <w:rPr>
          <w:rFonts w:cs="Verdana,Bold"/>
          <w:b/>
          <w:bCs/>
          <w:color w:val="002060"/>
          <w:kern w:val="0"/>
        </w:rPr>
        <w:t>En effet chaque mandat doit donner lieu éventuellement à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une suspension de paiement de la part du comptable et à un ordre de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Pr="008F2C14">
        <w:rPr>
          <w:rFonts w:cs="Verdana,Bold"/>
          <w:b/>
          <w:bCs/>
          <w:color w:val="002060"/>
          <w:kern w:val="0"/>
        </w:rPr>
        <w:t>réquisition particulier de l’ordonnateur.</w:t>
      </w:r>
      <w:r w:rsidR="001C549C">
        <w:rPr>
          <w:rFonts w:cs="Verdana,Bold"/>
          <w:b/>
          <w:bCs/>
          <w:color w:val="002060"/>
          <w:kern w:val="0"/>
        </w:rPr>
        <w:t xml:space="preserve"> </w:t>
      </w:r>
    </w:p>
    <w:p w14:paraId="5B76FDED" w14:textId="13605770" w:rsid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02060"/>
          <w:kern w:val="0"/>
        </w:rPr>
      </w:pPr>
      <w:r>
        <w:rPr>
          <w:rFonts w:cs="Verdana,Bold"/>
          <w:b/>
          <w:bCs/>
          <w:color w:val="002060"/>
          <w:kern w:val="0"/>
        </w:rPr>
        <w:t>P</w:t>
      </w:r>
      <w:r w:rsidR="008F2C14" w:rsidRPr="008F2C14">
        <w:rPr>
          <w:rFonts w:cs="Verdana,Bold"/>
          <w:b/>
          <w:bCs/>
          <w:color w:val="002060"/>
          <w:kern w:val="0"/>
        </w:rPr>
        <w:t>our chaque suspension de paiement doit être établi un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="008F2C14" w:rsidRPr="008F2C14">
        <w:rPr>
          <w:rFonts w:cs="Verdana,Bold"/>
          <w:b/>
          <w:bCs/>
          <w:color w:val="002060"/>
          <w:kern w:val="0"/>
        </w:rPr>
        <w:t>ordre de réquisition. Une suspension de paiement peut concerner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="008F2C14" w:rsidRPr="008F2C14">
        <w:rPr>
          <w:rFonts w:cs="Verdana,Bold"/>
          <w:b/>
          <w:bCs/>
          <w:color w:val="002060"/>
          <w:kern w:val="0"/>
        </w:rPr>
        <w:t>plusieurs mandats. La réquisition doit faire référence de manière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="008F2C14" w:rsidRPr="008F2C14">
        <w:rPr>
          <w:rFonts w:cs="Verdana,Bold"/>
          <w:b/>
          <w:bCs/>
          <w:color w:val="002060"/>
          <w:kern w:val="0"/>
        </w:rPr>
        <w:t>explicite aux mandats qui ont été suspendu et pour lesquels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="008F2C14" w:rsidRPr="008F2C14">
        <w:rPr>
          <w:rFonts w:cs="Verdana,Bold"/>
          <w:b/>
          <w:bCs/>
          <w:color w:val="002060"/>
          <w:kern w:val="0"/>
        </w:rPr>
        <w:t>l’ordonnateur donne l’ordre au comptable de procéder à leur paiement,</w:t>
      </w:r>
      <w:r>
        <w:rPr>
          <w:rFonts w:cs="Verdana,Bold"/>
          <w:b/>
          <w:bCs/>
          <w:color w:val="002060"/>
          <w:kern w:val="0"/>
        </w:rPr>
        <w:t xml:space="preserve"> </w:t>
      </w:r>
      <w:r w:rsidR="008F2C14" w:rsidRPr="008F2C14">
        <w:rPr>
          <w:rFonts w:cs="Verdana,Bold"/>
          <w:b/>
          <w:bCs/>
          <w:color w:val="002060"/>
          <w:kern w:val="0"/>
        </w:rPr>
        <w:t>la référence des mandats en annexe n’est, à notre avis, pas suffisante.</w:t>
      </w:r>
    </w:p>
    <w:p w14:paraId="4B9AD89D" w14:textId="77777777" w:rsidR="001C549C" w:rsidRPr="008F2C14" w:rsidRDefault="001C549C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02060"/>
          <w:kern w:val="0"/>
        </w:rPr>
      </w:pPr>
    </w:p>
    <w:p w14:paraId="7EF85EFC" w14:textId="77777777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,Bold"/>
          <w:b/>
          <w:bCs/>
          <w:color w:val="002060"/>
          <w:kern w:val="0"/>
        </w:rPr>
      </w:pPr>
      <w:r w:rsidRPr="008F2C14">
        <w:rPr>
          <w:rFonts w:cs="Verdana,Bold"/>
          <w:b/>
          <w:bCs/>
          <w:color w:val="002060"/>
          <w:kern w:val="0"/>
        </w:rPr>
        <w:t>3. La transmission du dossier de réquisition</w:t>
      </w:r>
    </w:p>
    <w:p w14:paraId="31402651" w14:textId="28B71278" w:rsidR="008F2C14" w:rsidRPr="008F2C14" w:rsidRDefault="008F2C14" w:rsidP="00021EC6">
      <w:pPr>
        <w:autoSpaceDE w:val="0"/>
        <w:autoSpaceDN w:val="0"/>
        <w:adjustRightInd w:val="0"/>
        <w:spacing w:after="0" w:line="240" w:lineRule="auto"/>
        <w:jc w:val="both"/>
        <w:rPr>
          <w:rFonts w:cs="Verdana,Italic"/>
          <w:i/>
          <w:iCs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L'agent comptable doit « rendre compte au</w:t>
      </w:r>
      <w:r w:rsidR="00021EC6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ministre des finances » de cette réquisition et que </w:t>
      </w:r>
      <w:r w:rsidRPr="008F2C14">
        <w:rPr>
          <w:rFonts w:cs="Verdana,Italic"/>
          <w:i/>
          <w:iCs/>
          <w:color w:val="002060"/>
          <w:kern w:val="0"/>
        </w:rPr>
        <w:t>« L'ordre de réquisition est</w:t>
      </w:r>
      <w:r w:rsidR="001C549C">
        <w:rPr>
          <w:rFonts w:cs="Verdana"/>
          <w:color w:val="002060"/>
          <w:kern w:val="0"/>
        </w:rPr>
        <w:t xml:space="preserve"> </w:t>
      </w:r>
      <w:r w:rsidRPr="008F2C14">
        <w:rPr>
          <w:rFonts w:cs="Verdana,Italic"/>
          <w:i/>
          <w:iCs/>
          <w:color w:val="002060"/>
          <w:kern w:val="0"/>
        </w:rPr>
        <w:t xml:space="preserve">transmis à la Cour des comptes par le ministre des finances. </w:t>
      </w:r>
    </w:p>
    <w:p w14:paraId="70C0F4C0" w14:textId="2FC4B06B" w:rsidR="008F2C14" w:rsidRPr="008F2C14" w:rsidRDefault="008F2C14" w:rsidP="00021EC6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En conséquence, l'agent comptable doit adresser à la direction de la comptabilité</w:t>
      </w:r>
      <w:r w:rsidR="001C549C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 xml:space="preserve">publique (bureau </w:t>
      </w:r>
      <w:r w:rsidR="00021EC6">
        <w:rPr>
          <w:rFonts w:cs="Verdana"/>
          <w:color w:val="002060"/>
          <w:kern w:val="0"/>
        </w:rPr>
        <w:t>2F</w:t>
      </w:r>
      <w:r w:rsidRPr="008F2C14">
        <w:rPr>
          <w:rFonts w:cs="Verdana"/>
          <w:color w:val="002060"/>
          <w:kern w:val="0"/>
        </w:rPr>
        <w:t xml:space="preserve">CE2B) un </w:t>
      </w:r>
      <w:r w:rsidRPr="00021EC6">
        <w:rPr>
          <w:rFonts w:cs="Verdana"/>
          <w:color w:val="002060"/>
          <w:kern w:val="0"/>
        </w:rPr>
        <w:t>courrier précisant les circonstances et les</w:t>
      </w:r>
      <w:r w:rsidR="001C549C">
        <w:rPr>
          <w:rFonts w:cs="Verdana"/>
          <w:color w:val="002060"/>
          <w:kern w:val="0"/>
        </w:rPr>
        <w:t xml:space="preserve"> </w:t>
      </w:r>
      <w:r w:rsidRPr="00021EC6">
        <w:rPr>
          <w:rFonts w:cs="Verdana"/>
          <w:color w:val="002060"/>
          <w:kern w:val="0"/>
        </w:rPr>
        <w:t>motifs à l'origine de la réquisition</w:t>
      </w:r>
      <w:r w:rsidR="00021EC6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accompagn</w:t>
      </w:r>
      <w:r w:rsidR="00021EC6">
        <w:rPr>
          <w:rFonts w:cs="Verdana"/>
          <w:color w:val="002060"/>
          <w:kern w:val="0"/>
        </w:rPr>
        <w:t>é</w:t>
      </w:r>
      <w:r w:rsidRPr="008F2C14">
        <w:rPr>
          <w:rFonts w:cs="Verdana"/>
          <w:color w:val="002060"/>
          <w:kern w:val="0"/>
        </w:rPr>
        <w:t xml:space="preserve"> des pièces </w:t>
      </w:r>
      <w:r w:rsidR="00021EC6">
        <w:rPr>
          <w:rFonts w:cs="Verdana"/>
          <w:color w:val="002060"/>
          <w:kern w:val="0"/>
        </w:rPr>
        <w:t>ayant donné lieu à la réquisition.</w:t>
      </w:r>
    </w:p>
    <w:p w14:paraId="6BA889A4" w14:textId="6ED42169" w:rsidR="008F2C14" w:rsidRPr="008F2C14" w:rsidRDefault="008F2C14" w:rsidP="008F2C1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Le dossier de réquisition est envoyé à la</w:t>
      </w:r>
      <w:r w:rsidR="00021EC6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Cour des comptes</w:t>
      </w:r>
      <w:r w:rsidRPr="008F2C14">
        <w:rPr>
          <w:rFonts w:cs="Verdana"/>
          <w:color w:val="002060"/>
          <w:kern w:val="0"/>
        </w:rPr>
        <w:t xml:space="preserve"> et signalé </w:t>
      </w:r>
      <w:r w:rsidR="001C549C" w:rsidRPr="008F2C14">
        <w:rPr>
          <w:rFonts w:cs="Verdana"/>
          <w:color w:val="002060"/>
          <w:kern w:val="0"/>
        </w:rPr>
        <w:t>lors</w:t>
      </w:r>
      <w:r w:rsidRPr="008F2C14">
        <w:rPr>
          <w:rFonts w:cs="Verdana"/>
          <w:color w:val="002060"/>
          <w:kern w:val="0"/>
        </w:rPr>
        <w:t xml:space="preserve"> du dépôt du compte financier dans l’Infocentre</w:t>
      </w:r>
      <w:r w:rsidRPr="008F2C14">
        <w:rPr>
          <w:rFonts w:cs="Verdana"/>
          <w:color w:val="002060"/>
          <w:kern w:val="0"/>
        </w:rPr>
        <w:t>.</w:t>
      </w:r>
    </w:p>
    <w:p w14:paraId="0D3516EC" w14:textId="51579509" w:rsidR="008F2C14" w:rsidRPr="001C549C" w:rsidRDefault="008F2C14" w:rsidP="001C549C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2060"/>
          <w:kern w:val="0"/>
        </w:rPr>
      </w:pPr>
      <w:r w:rsidRPr="008F2C14">
        <w:rPr>
          <w:rFonts w:cs="Verdana"/>
          <w:color w:val="002060"/>
          <w:kern w:val="0"/>
        </w:rPr>
        <w:t>Il appartient à l'agent comptable d'informer également le ministre de tutelle de</w:t>
      </w:r>
      <w:r w:rsidR="001C549C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l’établissement de la réquisition en lui adressant une copie du dossier de</w:t>
      </w:r>
      <w:r w:rsidR="001C549C">
        <w:rPr>
          <w:rFonts w:cs="Verdana"/>
          <w:color w:val="002060"/>
          <w:kern w:val="0"/>
        </w:rPr>
        <w:t xml:space="preserve"> </w:t>
      </w:r>
      <w:r w:rsidRPr="008F2C14">
        <w:rPr>
          <w:rFonts w:cs="Verdana"/>
          <w:color w:val="002060"/>
          <w:kern w:val="0"/>
        </w:rPr>
        <w:t>réquisition.</w:t>
      </w:r>
    </w:p>
    <w:p w14:paraId="16486FF3" w14:textId="77777777" w:rsidR="008F2C14" w:rsidRPr="008F2C14" w:rsidRDefault="008F2C14" w:rsidP="008F2C14">
      <w:pPr>
        <w:jc w:val="both"/>
        <w:rPr>
          <w:color w:val="002060"/>
        </w:rPr>
      </w:pPr>
    </w:p>
    <w:sectPr w:rsidR="008F2C14" w:rsidRPr="008F2C14" w:rsidSect="00021EC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14"/>
    <w:rsid w:val="00021EC6"/>
    <w:rsid w:val="001C549C"/>
    <w:rsid w:val="00306E20"/>
    <w:rsid w:val="003D519A"/>
    <w:rsid w:val="008F2C14"/>
    <w:rsid w:val="00AF7E60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2743"/>
  <w15:chartTrackingRefBased/>
  <w15:docId w15:val="{1894AEAD-204E-4988-83BB-A14E2252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2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2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2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2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2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2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2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2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2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2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2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2C1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2C1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2C1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2C1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2C1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2C1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2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2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2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2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2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2C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2C1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2C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2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2C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2C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979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2024-10-15T11:33:00Z</dcterms:created>
  <dcterms:modified xsi:type="dcterms:W3CDTF">2024-10-15T11:56:00Z</dcterms:modified>
</cp:coreProperties>
</file>