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C5506" w14:textId="1DBBA8F2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  <w:color w:val="000000"/>
        </w:rPr>
      </w:pPr>
      <w:r>
        <w:rPr>
          <w:rFonts w:eastAsia="MarianneBold" w:cstheme="minorHAnsi"/>
          <w:b/>
          <w:bCs/>
          <w:color w:val="000000"/>
        </w:rPr>
        <w:t>5</w:t>
      </w:r>
      <w:proofErr w:type="gramStart"/>
      <w:r>
        <w:rPr>
          <w:rFonts w:eastAsia="MarianneBold" w:cstheme="minorHAnsi"/>
          <w:b/>
          <w:bCs/>
          <w:color w:val="000000"/>
        </w:rPr>
        <w:t xml:space="preserve">/  </w:t>
      </w:r>
      <w:r w:rsidRPr="00A90F7F">
        <w:rPr>
          <w:rFonts w:eastAsia="MarianneBold" w:cstheme="minorHAnsi"/>
          <w:b/>
          <w:bCs/>
          <w:color w:val="000000"/>
        </w:rPr>
        <w:t>Mutualisation</w:t>
      </w:r>
      <w:proofErr w:type="gramEnd"/>
      <w:r w:rsidRPr="00A90F7F">
        <w:rPr>
          <w:rFonts w:eastAsia="MarianneBold" w:cstheme="minorHAnsi"/>
          <w:b/>
          <w:bCs/>
          <w:color w:val="000000"/>
        </w:rPr>
        <w:t xml:space="preserve"> entre certains établissements publics de l’État des fonctions et moyens</w:t>
      </w:r>
      <w:r>
        <w:rPr>
          <w:rFonts w:eastAsia="MarianneBold" w:cstheme="minorHAnsi"/>
          <w:b/>
          <w:bCs/>
          <w:color w:val="000000"/>
        </w:rPr>
        <w:t xml:space="preserve"> </w:t>
      </w:r>
      <w:r w:rsidRPr="00A90F7F">
        <w:rPr>
          <w:rFonts w:eastAsia="MarianneBold" w:cstheme="minorHAnsi"/>
          <w:b/>
          <w:bCs/>
          <w:color w:val="000000"/>
        </w:rPr>
        <w:t>nécessaires à la réalisation de leurs missions</w:t>
      </w:r>
    </w:p>
    <w:p w14:paraId="7592651F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  <w:color w:val="000000"/>
        </w:rPr>
      </w:pPr>
    </w:p>
    <w:p w14:paraId="5A2B0B66" w14:textId="483B1D8D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 xml:space="preserve">Le décret n° </w:t>
      </w:r>
      <w:r w:rsidRPr="00A90F7F">
        <w:rPr>
          <w:rFonts w:eastAsia="MarianneBold" w:cstheme="minorHAnsi"/>
          <w:color w:val="000081"/>
        </w:rPr>
        <w:t xml:space="preserve">2023-1019 </w:t>
      </w:r>
      <w:r w:rsidRPr="00A90F7F">
        <w:rPr>
          <w:rFonts w:eastAsia="MarianneBold" w:cstheme="minorHAnsi"/>
          <w:color w:val="000000"/>
        </w:rPr>
        <w:t>du 3 novembre 2023 relatif à la mutualisation entre certains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établissements publics de l’État des fonctions et moyens nécessaires à la réalisation de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leurs missions a été publié au Journal Officiel du 5 novembre 2023.</w:t>
      </w:r>
    </w:p>
    <w:p w14:paraId="4F037F7E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770693CD" w14:textId="49445BD2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 xml:space="preserve">Ce décret, pris en application de l’article </w:t>
      </w:r>
      <w:r w:rsidRPr="00A90F7F">
        <w:rPr>
          <w:rFonts w:eastAsia="MarianneBold" w:cstheme="minorHAnsi"/>
          <w:color w:val="000081"/>
        </w:rPr>
        <w:t xml:space="preserve">201 </w:t>
      </w:r>
      <w:r w:rsidRPr="00A90F7F">
        <w:rPr>
          <w:rFonts w:eastAsia="MarianneBold" w:cstheme="minorHAnsi"/>
          <w:color w:val="000000"/>
        </w:rPr>
        <w:t>de la loi n° 2022-217 du 21 février 2022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relative à la différenciation, la décentralisation, la déconcentration et portant diverses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mesures de simplification de l'action publique locale, traduit par voie réglementaire une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des mesures de simplification du fonctionnement des établissements publics portées par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la loi « 3DS ».</w:t>
      </w:r>
    </w:p>
    <w:p w14:paraId="0965306E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5648A15D" w14:textId="6F379DB2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Cet article de la loi « 3DS » pose le principe selon lequel les établissements publics de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l’État exerçant des missions similaires sur des périmètres géographiques différents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peuvent, en l'absence de dispositions qui leur sont applicables ayant le même objet,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mutualiser leurs fonctions supports :</w:t>
      </w:r>
    </w:p>
    <w:p w14:paraId="30EA836C" w14:textId="2A9B5188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1° Soit en constituant un groupement d'intérêt public dans les conditions définies au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 xml:space="preserve">chapitre II de la loi n° </w:t>
      </w:r>
      <w:r w:rsidRPr="00A90F7F">
        <w:rPr>
          <w:rFonts w:eastAsia="MarianneBold" w:cstheme="minorHAnsi"/>
          <w:color w:val="000081"/>
        </w:rPr>
        <w:t xml:space="preserve">2011-525 </w:t>
      </w:r>
      <w:r w:rsidRPr="00A90F7F">
        <w:rPr>
          <w:rFonts w:eastAsia="MarianneBold" w:cstheme="minorHAnsi"/>
          <w:color w:val="000000"/>
        </w:rPr>
        <w:t>du 17 mai 2011 de simplification et d'amélioration de la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qualité du droit ;</w:t>
      </w:r>
    </w:p>
    <w:p w14:paraId="26E81457" w14:textId="451A3A74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2° Soit en concluant une convention de coopération, approuvée par leur conseil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d'administration, et en déterminant les modalités et les conditions financières de cette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mutualisation.</w:t>
      </w:r>
    </w:p>
    <w:p w14:paraId="2CE250E4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306126EC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La convention de coopération peut :</w:t>
      </w:r>
    </w:p>
    <w:p w14:paraId="72C3DF68" w14:textId="1DC94E42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• désigner l'un des établissements comme établissement support chargé d'assurer,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pour le compte des autres établissements parties à la convention, la gestion des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fonctions et moyens mutualisés, cette mission étant à but non lucratif ;</w:t>
      </w:r>
    </w:p>
    <w:p w14:paraId="3AA6DD4C" w14:textId="2D7B76A5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• préciser les conditions selon lesquelles des actes juridiques peuvent être pris pour le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compte des établissements participants ainsi que les modalités selon lesquelles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l'établissement support est chargé de la gestion des crédits et exerce la fonction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d'ordonnateur pour le compte des autres établissements.</w:t>
      </w:r>
    </w:p>
    <w:p w14:paraId="74078A2B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44363F8D" w14:textId="3CF461E4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À défaut de la mise en place d'une mutualisation dans les conditions précisées par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 xml:space="preserve">l’article </w:t>
      </w:r>
      <w:r w:rsidRPr="00A90F7F">
        <w:rPr>
          <w:rFonts w:eastAsia="MarianneBold" w:cstheme="minorHAnsi"/>
          <w:color w:val="000081"/>
        </w:rPr>
        <w:t xml:space="preserve">201 </w:t>
      </w:r>
      <w:r w:rsidRPr="00A90F7F">
        <w:rPr>
          <w:rFonts w:eastAsia="MarianneBold" w:cstheme="minorHAnsi"/>
          <w:color w:val="000000"/>
        </w:rPr>
        <w:t>précité, un décret, pris après avis des conseils d'administration des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établissements concernés, peut organiser cette mutualisation.</w:t>
      </w:r>
    </w:p>
    <w:p w14:paraId="1E9893EB" w14:textId="1AF71E51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Les établissements auront donc la possibilité d’opter pour une mutualisation encadrée par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 xml:space="preserve">un décret spécifique ou par ce </w:t>
      </w:r>
      <w:r w:rsidRPr="00A90F7F">
        <w:rPr>
          <w:rFonts w:eastAsia="MarianneBold" w:cstheme="minorHAnsi"/>
          <w:color w:val="000081"/>
        </w:rPr>
        <w:t xml:space="preserve">décret </w:t>
      </w:r>
      <w:r w:rsidRPr="00A90F7F">
        <w:rPr>
          <w:rFonts w:eastAsia="MarianneBold" w:cstheme="minorHAnsi"/>
          <w:color w:val="000000"/>
        </w:rPr>
        <w:t>3 novembre 2023.</w:t>
      </w:r>
    </w:p>
    <w:p w14:paraId="71E7645B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6FDD40EA" w14:textId="2173839C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 xml:space="preserve">Ce </w:t>
      </w:r>
      <w:r w:rsidRPr="00A90F7F">
        <w:rPr>
          <w:rFonts w:eastAsia="MarianneBold" w:cstheme="minorHAnsi"/>
          <w:color w:val="000081"/>
        </w:rPr>
        <w:t xml:space="preserve">décret </w:t>
      </w:r>
      <w:r w:rsidRPr="00A90F7F">
        <w:rPr>
          <w:rFonts w:eastAsia="MarianneBold" w:cstheme="minorHAnsi"/>
          <w:color w:val="000000"/>
        </w:rPr>
        <w:t>du 3 novembre 2023 précise par ailleurs les fonctions pouvant être mutualisées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et les conditions de cette mutualisation.</w:t>
      </w:r>
    </w:p>
    <w:p w14:paraId="4638855E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0A1CA0F9" w14:textId="1E48F78B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 xml:space="preserve">Ainsi, l’article </w:t>
      </w:r>
      <w:r w:rsidRPr="00A90F7F">
        <w:rPr>
          <w:rFonts w:eastAsia="MarianneBold" w:cstheme="minorHAnsi"/>
          <w:color w:val="000081"/>
        </w:rPr>
        <w:t xml:space="preserve">1 e r </w:t>
      </w:r>
      <w:r w:rsidRPr="00A90F7F">
        <w:rPr>
          <w:rFonts w:eastAsia="MarianneBold" w:cstheme="minorHAnsi"/>
          <w:color w:val="000000"/>
        </w:rPr>
        <w:t>prévoit que les établissements publics peuvent mutualiser la gestion des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fonctions et moyens relatifs :</w:t>
      </w:r>
    </w:p>
    <w:p w14:paraId="69DAA9BA" w14:textId="66B9141F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 xml:space="preserve">1° Aux opérations budgétaires et financières, sous réserve des dispositions de l'article </w:t>
      </w:r>
      <w:r w:rsidRPr="00A90F7F">
        <w:rPr>
          <w:rFonts w:eastAsia="MarianneBold" w:cstheme="minorHAnsi"/>
          <w:color w:val="000081"/>
        </w:rPr>
        <w:t>188</w:t>
      </w:r>
      <w:r>
        <w:rPr>
          <w:rFonts w:eastAsia="MarianneBold" w:cstheme="minorHAnsi"/>
          <w:color w:val="000081"/>
        </w:rPr>
        <w:t xml:space="preserve"> </w:t>
      </w:r>
      <w:r w:rsidRPr="00A90F7F">
        <w:rPr>
          <w:rFonts w:eastAsia="MarianneBold" w:cstheme="minorHAnsi"/>
          <w:color w:val="000000"/>
        </w:rPr>
        <w:t>du décret du 7 novembre 2012 relatif à la gestion budgétaire et comptable publique</w:t>
      </w:r>
      <w:r>
        <w:rPr>
          <w:rFonts w:eastAsia="MarianneBold" w:cstheme="minorHAnsi"/>
          <w:color w:val="000000"/>
        </w:rPr>
        <w:t xml:space="preserve"> </w:t>
      </w:r>
      <w:r w:rsidRPr="00A90F7F">
        <w:rPr>
          <w:rFonts w:eastAsia="MarianneBold" w:cstheme="minorHAnsi"/>
          <w:color w:val="000000"/>
        </w:rPr>
        <w:t>(GBCP) ;</w:t>
      </w:r>
    </w:p>
    <w:p w14:paraId="04AE350B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A90F7F">
        <w:rPr>
          <w:rFonts w:eastAsia="MarianneBold" w:cstheme="minorHAnsi"/>
          <w:color w:val="000000"/>
        </w:rPr>
        <w:t>2° À la gestion des ressources humaines ;</w:t>
      </w:r>
    </w:p>
    <w:p w14:paraId="4F4481C6" w14:textId="429F33FE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3° À l'immobilier, à la logistique et aux achats, notamment en cas de passation d'un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marché ;</w:t>
      </w:r>
    </w:p>
    <w:p w14:paraId="123365EB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4° Aux systèmes d'information et de communication ;</w:t>
      </w:r>
    </w:p>
    <w:p w14:paraId="58D9ABCE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5° À l'expertise juridique ;</w:t>
      </w:r>
    </w:p>
    <w:p w14:paraId="31A0E9F5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6° À la communication et à la documentation ;</w:t>
      </w:r>
    </w:p>
    <w:p w14:paraId="053C39F8" w14:textId="01613D9F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7° Aux activités européennes et internationales.</w:t>
      </w:r>
    </w:p>
    <w:p w14:paraId="0A85A168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7B240B73" w14:textId="719BA410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 xml:space="preserve">Il est mentionné à l’article </w:t>
      </w:r>
      <w:r w:rsidRPr="00A90F7F">
        <w:rPr>
          <w:rFonts w:cstheme="minorHAnsi"/>
          <w:color w:val="000081"/>
        </w:rPr>
        <w:t xml:space="preserve">2 </w:t>
      </w:r>
      <w:r w:rsidRPr="00A90F7F">
        <w:rPr>
          <w:rFonts w:cstheme="minorHAnsi"/>
          <w:color w:val="000000"/>
        </w:rPr>
        <w:t>du décret que la convention de coopération, conclue pour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une durée déterminée, précise, notamment :</w:t>
      </w:r>
    </w:p>
    <w:p w14:paraId="73B47169" w14:textId="309B36FE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1° Les établissements publics signataires et parmi eux, le cas échéant, l'établissement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support ;</w:t>
      </w:r>
    </w:p>
    <w:p w14:paraId="6C6FADB2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2° Les fonctions et moyens dont la gestion est mutualisée ;</w:t>
      </w:r>
    </w:p>
    <w:p w14:paraId="042E76EB" w14:textId="161E912D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lastRenderedPageBreak/>
        <w:t>3° Les modalités selon lesquelles les agents chargés des fonctions et moyens mutualisés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sont gérés ;</w:t>
      </w:r>
    </w:p>
    <w:p w14:paraId="015C46DE" w14:textId="185C5B2E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4° Le cas échéant, les actes juridiques qui sont pris pour le compte des établissements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participants ainsi que les crédits qui sont gérés, par l'établissement support, pour le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compte des autres établissements ;</w:t>
      </w:r>
    </w:p>
    <w:p w14:paraId="38B5AB4C" w14:textId="12CD1C10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5° Le cas échéant, le montant ou les règles de calcul des contributions financières à la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charge des établissements signataires ;</w:t>
      </w:r>
    </w:p>
    <w:p w14:paraId="48830670" w14:textId="44653E02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6° La composition et les modalités de fonctionnement de la ou des instances chargées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d'assurer le pilotage et le suivi de l'exécution de la convention ;</w:t>
      </w:r>
    </w:p>
    <w:p w14:paraId="659AD818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7° Sa durée et les modalités selon lesquelles elle peut être renouvelée ou modifiée ;</w:t>
      </w:r>
    </w:p>
    <w:p w14:paraId="21D6B8D4" w14:textId="176F213D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8° Les conditions d'adhésion d'un nouvel établissement et du retrait d'un signataire ainsi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que leurs effets.</w:t>
      </w:r>
    </w:p>
    <w:p w14:paraId="2FF61AEB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341472B5" w14:textId="4FF0E34D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 xml:space="preserve">Toute mutualisation, encadrée par le </w:t>
      </w:r>
      <w:r w:rsidRPr="00A90F7F">
        <w:rPr>
          <w:rFonts w:cstheme="minorHAnsi"/>
          <w:color w:val="000081"/>
        </w:rPr>
        <w:t xml:space="preserve">décret </w:t>
      </w:r>
      <w:r w:rsidRPr="00A90F7F">
        <w:rPr>
          <w:rFonts w:cstheme="minorHAnsi"/>
          <w:color w:val="000000"/>
        </w:rPr>
        <w:t>3 novembre 2023 ou par un décret spécifique,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doit donner lieu à une consultation préalable des instances représentatives du personnel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 xml:space="preserve">avant l'approbation de la convention par délibération ou l'adoption du décret (article </w:t>
      </w:r>
      <w:r w:rsidRPr="00A90F7F">
        <w:rPr>
          <w:rFonts w:cstheme="minorHAnsi"/>
          <w:color w:val="000081"/>
        </w:rPr>
        <w:t>4</w:t>
      </w:r>
      <w:r w:rsidRPr="00A90F7F">
        <w:rPr>
          <w:rFonts w:cstheme="minorHAnsi"/>
          <w:color w:val="000000"/>
        </w:rPr>
        <w:t>).</w:t>
      </w:r>
    </w:p>
    <w:p w14:paraId="5E551697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F81501D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 xml:space="preserve">Par ailleurs, il est indiqué à l’article </w:t>
      </w:r>
      <w:r w:rsidRPr="00A90F7F">
        <w:rPr>
          <w:rFonts w:cstheme="minorHAnsi"/>
          <w:color w:val="000081"/>
        </w:rPr>
        <w:t xml:space="preserve">3 </w:t>
      </w:r>
      <w:r w:rsidRPr="00A90F7F">
        <w:rPr>
          <w:rFonts w:cstheme="minorHAnsi"/>
          <w:color w:val="000000"/>
        </w:rPr>
        <w:t>que ce décret spécifique :</w:t>
      </w:r>
    </w:p>
    <w:p w14:paraId="1BB0E9BA" w14:textId="3C097C3C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– peut porter sur tout ou partie des fonctions et moyens mentionnés à l'article 1er du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81"/>
        </w:rPr>
        <w:t xml:space="preserve">décret </w:t>
      </w:r>
      <w:r w:rsidRPr="00A90F7F">
        <w:rPr>
          <w:rFonts w:cstheme="minorHAnsi"/>
          <w:color w:val="000000"/>
        </w:rPr>
        <w:t>3 novembre 2023 relevant d'au moins deux établissements publics et n'ayant pas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donné lieu, entre ces établissements, à la signature d'une convention en application du 1°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ou du 2° de l'article 201 la loi 3DS.</w:t>
      </w:r>
    </w:p>
    <w:p w14:paraId="7BFE7862" w14:textId="1B9F9E0B" w:rsid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>– ne peut intervenir qu'après l'expiration d'un délai d'un an, prorogeable à deux reprises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après accord du ou des ministres de tutelle, qui court à compter des demandes de ces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ministres tendant à ce que les établissements publics procèdent à la mutualisation.</w:t>
      </w:r>
    </w:p>
    <w:p w14:paraId="06CE7ADE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422FB205" w14:textId="63A81FF9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90F7F">
        <w:rPr>
          <w:rFonts w:cstheme="minorHAnsi"/>
          <w:color w:val="000000"/>
        </w:rPr>
        <w:t xml:space="preserve">L’article </w:t>
      </w:r>
      <w:r w:rsidRPr="00A90F7F">
        <w:rPr>
          <w:rFonts w:cstheme="minorHAnsi"/>
          <w:color w:val="000081"/>
        </w:rPr>
        <w:t xml:space="preserve">5 </w:t>
      </w:r>
      <w:r w:rsidRPr="00A90F7F">
        <w:rPr>
          <w:rFonts w:cstheme="minorHAnsi"/>
          <w:color w:val="000000"/>
        </w:rPr>
        <w:t>du décret mentionne que, sans préjudice des dispositions de l'article 4 du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81"/>
        </w:rPr>
        <w:t xml:space="preserve">décret </w:t>
      </w:r>
      <w:r w:rsidRPr="00A90F7F">
        <w:rPr>
          <w:rFonts w:cstheme="minorHAnsi"/>
          <w:color w:val="000000"/>
        </w:rPr>
        <w:t>du 26 janvier 2012 relatif aux groupements d'intérêt public pour les conventions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constituant un groupement d'intérêt public, toute convention de mutualisation est</w:t>
      </w:r>
      <w:r>
        <w:rPr>
          <w:rFonts w:cstheme="minorHAnsi"/>
          <w:color w:val="000000"/>
        </w:rPr>
        <w:t xml:space="preserve"> </w:t>
      </w:r>
      <w:r w:rsidRPr="00A90F7F">
        <w:rPr>
          <w:rFonts w:cstheme="minorHAnsi"/>
          <w:color w:val="000000"/>
        </w:rPr>
        <w:t>publiée au Bulletin officiel du ou des ministères de tutelle.</w:t>
      </w:r>
    </w:p>
    <w:p w14:paraId="1A51BB7C" w14:textId="77777777" w:rsidR="00A90F7F" w:rsidRDefault="00A90F7F" w:rsidP="00A90F7F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1B93239" w14:textId="7777777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</w:p>
    <w:p w14:paraId="4380DD19" w14:textId="5C7F7629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  <w:color w:val="000000"/>
        </w:rPr>
      </w:pPr>
      <w:r w:rsidRPr="00A90F7F">
        <w:rPr>
          <w:rFonts w:eastAsia="MarianneBold" w:cstheme="minorHAnsi"/>
          <w:b/>
          <w:bCs/>
          <w:color w:val="000000"/>
        </w:rPr>
        <w:t>Cette évolution du cadre juridique permet de mettre en place une mutualisation des</w:t>
      </w:r>
      <w:r>
        <w:rPr>
          <w:rFonts w:eastAsia="MarianneBold" w:cstheme="minorHAnsi"/>
          <w:b/>
          <w:bCs/>
          <w:color w:val="000000"/>
        </w:rPr>
        <w:t xml:space="preserve"> </w:t>
      </w:r>
      <w:r w:rsidRPr="00A90F7F">
        <w:rPr>
          <w:rFonts w:eastAsia="MarianneBold" w:cstheme="minorHAnsi"/>
          <w:b/>
          <w:bCs/>
          <w:color w:val="000000"/>
        </w:rPr>
        <w:t>moyens et des fonctions entre établissements publics de l’État plus large que celle posée</w:t>
      </w:r>
      <w:r>
        <w:rPr>
          <w:rFonts w:eastAsia="MarianneBold" w:cstheme="minorHAnsi"/>
          <w:b/>
          <w:bCs/>
          <w:color w:val="000000"/>
        </w:rPr>
        <w:t xml:space="preserve"> </w:t>
      </w:r>
      <w:r w:rsidRPr="00A90F7F">
        <w:rPr>
          <w:rFonts w:eastAsia="MarianneBold" w:cstheme="minorHAnsi"/>
          <w:b/>
          <w:bCs/>
          <w:color w:val="000000"/>
        </w:rPr>
        <w:t>par l’article 188 du décret GBCP ou les textes particuliers relatifs à certains groupements</w:t>
      </w:r>
      <w:r>
        <w:rPr>
          <w:rFonts w:eastAsia="MarianneBold" w:cstheme="minorHAnsi"/>
          <w:b/>
          <w:bCs/>
          <w:color w:val="000000"/>
        </w:rPr>
        <w:t xml:space="preserve"> </w:t>
      </w:r>
      <w:r w:rsidRPr="00A90F7F">
        <w:rPr>
          <w:rFonts w:eastAsia="MarianneBold" w:cstheme="minorHAnsi"/>
          <w:b/>
          <w:bCs/>
          <w:color w:val="000000"/>
        </w:rPr>
        <w:t>comptables, qui portent uniquement sur la fonction comptable.</w:t>
      </w:r>
    </w:p>
    <w:p w14:paraId="099911CD" w14:textId="3F1B2B57" w:rsidR="00A90F7F" w:rsidRPr="00A90F7F" w:rsidRDefault="00A90F7F" w:rsidP="00A90F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sectPr w:rsidR="00A90F7F" w:rsidRPr="00A90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Bol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73"/>
    <w:rsid w:val="000138EA"/>
    <w:rsid w:val="00473100"/>
    <w:rsid w:val="005C5CE8"/>
    <w:rsid w:val="00666077"/>
    <w:rsid w:val="00A23857"/>
    <w:rsid w:val="00A41158"/>
    <w:rsid w:val="00A90F7F"/>
    <w:rsid w:val="00C8723B"/>
    <w:rsid w:val="00FE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FC262"/>
  <w15:chartTrackingRefBased/>
  <w15:docId w15:val="{837E735E-9DBE-4B9D-AB28-436FD097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888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Damé Yves</cp:lastModifiedBy>
  <cp:revision>3</cp:revision>
  <dcterms:created xsi:type="dcterms:W3CDTF">2023-12-06T13:22:00Z</dcterms:created>
  <dcterms:modified xsi:type="dcterms:W3CDTF">2023-12-20T17:46:00Z</dcterms:modified>
</cp:coreProperties>
</file>