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36E04" w14:textId="77777777" w:rsidR="00BD434F" w:rsidRDefault="00BD434F"/>
    <w:p w14:paraId="2F1DA0C6" w14:textId="77777777" w:rsidR="002D1BA2" w:rsidRDefault="002D1BA2"/>
    <w:p w14:paraId="31239FD5" w14:textId="62CC65C9" w:rsidR="002D1BA2" w:rsidRPr="00A8073C" w:rsidRDefault="002D1BA2" w:rsidP="002D1BA2">
      <w:pPr>
        <w:shd w:val="clear" w:color="auto" w:fill="FFFFFF"/>
        <w:spacing w:after="0" w:line="240" w:lineRule="auto"/>
        <w:jc w:val="center"/>
        <w:rPr>
          <w:rFonts w:ascii="Arial" w:eastAsia="Times New Roman" w:hAnsi="Arial" w:cs="Arial"/>
          <w:b/>
          <w:bCs/>
          <w:color w:val="4A4A52"/>
          <w:kern w:val="0"/>
          <w:sz w:val="27"/>
          <w:szCs w:val="27"/>
          <w:lang w:eastAsia="fr-FR"/>
          <w14:ligatures w14:val="none"/>
        </w:rPr>
      </w:pPr>
      <w:r w:rsidRPr="00A8073C">
        <w:rPr>
          <w:rFonts w:ascii="Arial" w:eastAsia="Times New Roman" w:hAnsi="Arial" w:cs="Arial"/>
          <w:b/>
          <w:bCs/>
          <w:color w:val="4A4A52"/>
          <w:kern w:val="0"/>
          <w:sz w:val="27"/>
          <w:szCs w:val="27"/>
          <w:lang w:eastAsia="fr-FR"/>
          <w14:ligatures w14:val="none"/>
        </w:rPr>
        <w:t>Information Chorus Pro</w:t>
      </w:r>
      <w:r>
        <w:rPr>
          <w:rFonts w:ascii="Arial" w:eastAsia="Times New Roman" w:hAnsi="Arial" w:cs="Arial"/>
          <w:b/>
          <w:bCs/>
          <w:color w:val="4A4A52"/>
          <w:kern w:val="0"/>
          <w:sz w:val="27"/>
          <w:szCs w:val="27"/>
          <w:lang w:eastAsia="fr-FR"/>
          <w14:ligatures w14:val="none"/>
        </w:rPr>
        <w:t xml:space="preserve"> (DGFIP aout 2025)</w:t>
      </w:r>
    </w:p>
    <w:p w14:paraId="3EB77E55" w14:textId="77777777" w:rsidR="002D1BA2" w:rsidRPr="00A8073C" w:rsidRDefault="002D1BA2" w:rsidP="002D1BA2">
      <w:pPr>
        <w:shd w:val="clear" w:color="auto" w:fill="FFFFFF"/>
        <w:spacing w:before="280" w:after="600" w:line="240" w:lineRule="atLeast"/>
        <w:jc w:val="center"/>
        <w:rPr>
          <w:rFonts w:ascii="Arial" w:eastAsia="Times New Roman" w:hAnsi="Arial" w:cs="Arial"/>
          <w:color w:val="4A4A52"/>
          <w:kern w:val="0"/>
          <w:sz w:val="23"/>
          <w:szCs w:val="23"/>
          <w:lang w:eastAsia="fr-FR"/>
          <w14:ligatures w14:val="none"/>
        </w:rPr>
      </w:pPr>
      <w:r w:rsidRPr="00A8073C">
        <w:rPr>
          <w:rFonts w:ascii="Arial" w:eastAsia="Times New Roman" w:hAnsi="Arial" w:cs="Arial"/>
          <w:b/>
          <w:bCs/>
          <w:color w:val="4A4A52"/>
          <w:kern w:val="0"/>
          <w:sz w:val="21"/>
          <w:szCs w:val="21"/>
          <w:lang w:eastAsia="fr-FR"/>
          <w14:ligatures w14:val="none"/>
        </w:rPr>
        <w:t>Chorus Pro restera la plateforme de référence</w:t>
      </w:r>
      <w:r w:rsidRPr="00A8073C">
        <w:rPr>
          <w:rFonts w:ascii="Arial" w:eastAsia="Times New Roman" w:hAnsi="Arial" w:cs="Arial"/>
          <w:b/>
          <w:bCs/>
          <w:color w:val="4A4A52"/>
          <w:kern w:val="0"/>
          <w:sz w:val="21"/>
          <w:szCs w:val="21"/>
          <w:lang w:eastAsia="fr-FR"/>
          <w14:ligatures w14:val="none"/>
        </w:rPr>
        <w:br/>
        <w:t>pour la facturation électronique du secteur public à partir de 2026</w:t>
      </w:r>
    </w:p>
    <w:p w14:paraId="20764618" w14:textId="77777777" w:rsidR="002D1BA2" w:rsidRPr="00A8073C" w:rsidRDefault="002D1BA2" w:rsidP="002D1BA2">
      <w:pPr>
        <w:shd w:val="clear" w:color="auto" w:fill="FFFFFF"/>
        <w:spacing w:before="280" w:after="120" w:line="240" w:lineRule="atLeast"/>
        <w:jc w:val="both"/>
        <w:rPr>
          <w:rFonts w:ascii="Arial" w:eastAsia="Times New Roman" w:hAnsi="Arial" w:cs="Arial"/>
          <w:color w:val="4A4A52"/>
          <w:kern w:val="0"/>
          <w:sz w:val="23"/>
          <w:szCs w:val="23"/>
          <w:lang w:eastAsia="fr-FR"/>
          <w14:ligatures w14:val="none"/>
        </w:rPr>
      </w:pPr>
      <w:r w:rsidRPr="00A8073C">
        <w:rPr>
          <w:rFonts w:ascii="Arial" w:eastAsia="Times New Roman" w:hAnsi="Arial" w:cs="Arial"/>
          <w:color w:val="4A4A52"/>
          <w:kern w:val="0"/>
          <w:sz w:val="21"/>
          <w:szCs w:val="21"/>
          <w:lang w:eastAsia="fr-FR"/>
          <w14:ligatures w14:val="none"/>
        </w:rPr>
        <w:t>Depuis le 1er janvier 2017, l’ensemble des administrations reçoivent et échangent leurs factures de manière électronique via la plateforme</w:t>
      </w:r>
      <w:r w:rsidRPr="00A8073C">
        <w:rPr>
          <w:rFonts w:ascii="Arial" w:eastAsia="Times New Roman" w:hAnsi="Arial" w:cs="Arial"/>
          <w:color w:val="4A4A52"/>
          <w:kern w:val="0"/>
          <w:sz w:val="23"/>
          <w:szCs w:val="23"/>
          <w:lang w:eastAsia="fr-FR"/>
          <w14:ligatures w14:val="none"/>
        </w:rPr>
        <w:t> </w:t>
      </w:r>
      <w:r w:rsidRPr="00A8073C">
        <w:rPr>
          <w:rFonts w:ascii="Arial" w:eastAsia="Times New Roman" w:hAnsi="Arial" w:cs="Arial"/>
          <w:b/>
          <w:bCs/>
          <w:color w:val="4A4A52"/>
          <w:kern w:val="0"/>
          <w:sz w:val="21"/>
          <w:szCs w:val="21"/>
          <w:lang w:eastAsia="fr-FR"/>
          <w14:ligatures w14:val="none"/>
        </w:rPr>
        <w:t>Chorus Pro</w:t>
      </w:r>
      <w:r w:rsidRPr="00A8073C">
        <w:rPr>
          <w:rFonts w:ascii="Arial" w:eastAsia="Times New Roman" w:hAnsi="Arial" w:cs="Arial"/>
          <w:color w:val="4A4A52"/>
          <w:kern w:val="0"/>
          <w:sz w:val="21"/>
          <w:szCs w:val="21"/>
          <w:lang w:eastAsia="fr-FR"/>
          <w14:ligatures w14:val="none"/>
        </w:rPr>
        <w:t>, opérée par l’Agence pour l’informatique financière de l’État (AIFE).</w:t>
      </w:r>
    </w:p>
    <w:p w14:paraId="746BB792" w14:textId="77777777" w:rsidR="002D1BA2" w:rsidRPr="00A8073C" w:rsidRDefault="002D1BA2" w:rsidP="002D1BA2">
      <w:pPr>
        <w:shd w:val="clear" w:color="auto" w:fill="FFFFFF"/>
        <w:spacing w:before="280" w:after="120" w:line="240" w:lineRule="atLeast"/>
        <w:jc w:val="both"/>
        <w:rPr>
          <w:rFonts w:ascii="Arial" w:eastAsia="Times New Roman" w:hAnsi="Arial" w:cs="Arial"/>
          <w:color w:val="4A4A52"/>
          <w:kern w:val="0"/>
          <w:sz w:val="23"/>
          <w:szCs w:val="23"/>
          <w:lang w:eastAsia="fr-FR"/>
          <w14:ligatures w14:val="none"/>
        </w:rPr>
      </w:pPr>
      <w:r w:rsidRPr="00A8073C">
        <w:rPr>
          <w:rFonts w:ascii="Arial" w:eastAsia="Times New Roman" w:hAnsi="Arial" w:cs="Arial"/>
          <w:color w:val="4A4A52"/>
          <w:kern w:val="0"/>
          <w:sz w:val="21"/>
          <w:szCs w:val="21"/>
          <w:lang w:eastAsia="fr-FR"/>
          <w14:ligatures w14:val="none"/>
        </w:rPr>
        <w:t>Ce passage à la facturation électronique a permis aux services publics de moderniser leurs systèmes d’information, fluidifier leurs circuits de traitement, améliorer leurs délais de paiement et renforcer la qualité de leur chaîne comptable.</w:t>
      </w:r>
    </w:p>
    <w:p w14:paraId="636E465C" w14:textId="77777777" w:rsidR="002D1BA2" w:rsidRPr="00A8073C" w:rsidRDefault="002D1BA2" w:rsidP="002D1BA2">
      <w:pPr>
        <w:shd w:val="clear" w:color="auto" w:fill="FFFFFF"/>
        <w:spacing w:before="240" w:after="120" w:line="240" w:lineRule="atLeast"/>
        <w:jc w:val="both"/>
        <w:rPr>
          <w:rFonts w:ascii="Arial" w:eastAsia="Times New Roman" w:hAnsi="Arial" w:cs="Arial"/>
          <w:color w:val="4A4A52"/>
          <w:kern w:val="0"/>
          <w:sz w:val="23"/>
          <w:szCs w:val="23"/>
          <w:lang w:eastAsia="fr-FR"/>
          <w14:ligatures w14:val="none"/>
        </w:rPr>
      </w:pPr>
      <w:r w:rsidRPr="00A8073C">
        <w:rPr>
          <w:rFonts w:ascii="Arial" w:eastAsia="Times New Roman" w:hAnsi="Arial" w:cs="Arial"/>
          <w:b/>
          <w:bCs/>
          <w:color w:val="4A4A52"/>
          <w:kern w:val="0"/>
          <w:sz w:val="21"/>
          <w:szCs w:val="21"/>
          <w:u w:val="single"/>
          <w:lang w:eastAsia="fr-FR"/>
          <w14:ligatures w14:val="none"/>
        </w:rPr>
        <w:t>Un cadre est déjà en place pour le secteur public</w:t>
      </w:r>
    </w:p>
    <w:p w14:paraId="188E2E09" w14:textId="77777777" w:rsidR="002D1BA2" w:rsidRPr="00A8073C" w:rsidRDefault="002D1BA2" w:rsidP="002D1BA2">
      <w:pPr>
        <w:shd w:val="clear" w:color="auto" w:fill="FFFFFF"/>
        <w:spacing w:before="280" w:after="120" w:line="240" w:lineRule="atLeast"/>
        <w:jc w:val="both"/>
        <w:rPr>
          <w:rFonts w:ascii="Arial" w:eastAsia="Times New Roman" w:hAnsi="Arial" w:cs="Arial"/>
          <w:color w:val="4A4A52"/>
          <w:kern w:val="0"/>
          <w:sz w:val="23"/>
          <w:szCs w:val="23"/>
          <w:lang w:eastAsia="fr-FR"/>
          <w14:ligatures w14:val="none"/>
        </w:rPr>
      </w:pPr>
      <w:r w:rsidRPr="00A8073C">
        <w:rPr>
          <w:rFonts w:ascii="Arial" w:eastAsia="Times New Roman" w:hAnsi="Arial" w:cs="Arial"/>
          <w:color w:val="4A4A52"/>
          <w:kern w:val="0"/>
          <w:sz w:val="21"/>
          <w:szCs w:val="21"/>
          <w:lang w:eastAsia="fr-FR"/>
          <w14:ligatures w14:val="none"/>
        </w:rPr>
        <w:t>Pour rappel :</w:t>
      </w:r>
    </w:p>
    <w:p w14:paraId="2188D75A" w14:textId="77777777" w:rsidR="002D1BA2" w:rsidRPr="00A8073C" w:rsidRDefault="002D1BA2" w:rsidP="002D1BA2">
      <w:pPr>
        <w:shd w:val="clear" w:color="auto" w:fill="FFFFFF"/>
        <w:spacing w:before="280" w:after="0" w:line="240" w:lineRule="atLeast"/>
        <w:ind w:left="426"/>
        <w:jc w:val="both"/>
        <w:rPr>
          <w:rFonts w:ascii="Arial" w:eastAsia="Times New Roman" w:hAnsi="Arial" w:cs="Arial"/>
          <w:color w:val="4A4A52"/>
          <w:kern w:val="0"/>
          <w:sz w:val="23"/>
          <w:szCs w:val="23"/>
          <w:lang w:eastAsia="fr-FR"/>
          <w14:ligatures w14:val="none"/>
        </w:rPr>
      </w:pPr>
      <w:r w:rsidRPr="00A8073C">
        <w:rPr>
          <w:rFonts w:ascii="Arial" w:eastAsia="Times New Roman" w:hAnsi="Arial" w:cs="Arial"/>
          <w:color w:val="4A4A52"/>
          <w:kern w:val="0"/>
          <w:sz w:val="20"/>
          <w:szCs w:val="20"/>
          <w:lang w:eastAsia="fr-FR"/>
          <w14:ligatures w14:val="none"/>
        </w:rPr>
        <w:t>·     </w:t>
      </w:r>
      <w:r w:rsidRPr="00A8073C">
        <w:rPr>
          <w:rFonts w:ascii="Arial" w:eastAsia="Times New Roman" w:hAnsi="Arial" w:cs="Arial"/>
          <w:color w:val="4A4A52"/>
          <w:kern w:val="0"/>
          <w:sz w:val="23"/>
          <w:szCs w:val="23"/>
          <w:lang w:eastAsia="fr-FR"/>
          <w14:ligatures w14:val="none"/>
        </w:rPr>
        <w:t> </w:t>
      </w:r>
      <w:r w:rsidRPr="00A8073C">
        <w:rPr>
          <w:rFonts w:ascii="Arial" w:eastAsia="Times New Roman" w:hAnsi="Arial" w:cs="Arial"/>
          <w:color w:val="4A4A52"/>
          <w:kern w:val="0"/>
          <w:sz w:val="21"/>
          <w:szCs w:val="21"/>
          <w:lang w:eastAsia="fr-FR"/>
          <w14:ligatures w14:val="none"/>
        </w:rPr>
        <w:t>Les administrations </w:t>
      </w:r>
      <w:r w:rsidRPr="00A8073C">
        <w:rPr>
          <w:rFonts w:ascii="Arial" w:eastAsia="Times New Roman" w:hAnsi="Arial" w:cs="Arial"/>
          <w:b/>
          <w:bCs/>
          <w:color w:val="4A4A52"/>
          <w:kern w:val="0"/>
          <w:sz w:val="21"/>
          <w:szCs w:val="21"/>
          <w:lang w:eastAsia="fr-FR"/>
          <w14:ligatures w14:val="none"/>
        </w:rPr>
        <w:t>reçoivent déjà</w:t>
      </w:r>
      <w:r w:rsidRPr="00A8073C">
        <w:rPr>
          <w:rFonts w:ascii="Arial" w:eastAsia="Times New Roman" w:hAnsi="Arial" w:cs="Arial"/>
          <w:color w:val="4A4A52"/>
          <w:kern w:val="0"/>
          <w:sz w:val="21"/>
          <w:szCs w:val="21"/>
          <w:lang w:eastAsia="fr-FR"/>
          <w14:ligatures w14:val="none"/>
        </w:rPr>
        <w:t> des factures</w:t>
      </w:r>
      <w:r w:rsidRPr="00A8073C">
        <w:rPr>
          <w:rFonts w:ascii="Arial" w:eastAsia="Times New Roman" w:hAnsi="Arial" w:cs="Arial"/>
          <w:color w:val="4A4A52"/>
          <w:kern w:val="0"/>
          <w:sz w:val="23"/>
          <w:szCs w:val="23"/>
          <w:lang w:eastAsia="fr-FR"/>
          <w14:ligatures w14:val="none"/>
        </w:rPr>
        <w:t> </w:t>
      </w:r>
      <w:r w:rsidRPr="00A8073C">
        <w:rPr>
          <w:rFonts w:ascii="Arial" w:eastAsia="Times New Roman" w:hAnsi="Arial" w:cs="Arial"/>
          <w:color w:val="4A4A52"/>
          <w:kern w:val="0"/>
          <w:sz w:val="21"/>
          <w:szCs w:val="21"/>
          <w:lang w:eastAsia="fr-FR"/>
          <w14:ligatures w14:val="none"/>
        </w:rPr>
        <w:t>électroniques dans des formats qui se rapprochent de ceux qui seront exigés en septembre 2026 (</w:t>
      </w:r>
      <w:proofErr w:type="spellStart"/>
      <w:r w:rsidRPr="00A8073C">
        <w:rPr>
          <w:rFonts w:ascii="Arial" w:eastAsia="Times New Roman" w:hAnsi="Arial" w:cs="Arial"/>
          <w:color w:val="4A4A52"/>
          <w:kern w:val="0"/>
          <w:sz w:val="21"/>
          <w:szCs w:val="21"/>
          <w:lang w:eastAsia="fr-FR"/>
          <w14:ligatures w14:val="none"/>
        </w:rPr>
        <w:t>Factur</w:t>
      </w:r>
      <w:proofErr w:type="spellEnd"/>
      <w:r w:rsidRPr="00A8073C">
        <w:rPr>
          <w:rFonts w:ascii="Arial" w:eastAsia="Times New Roman" w:hAnsi="Arial" w:cs="Arial"/>
          <w:color w:val="4A4A52"/>
          <w:kern w:val="0"/>
          <w:sz w:val="21"/>
          <w:szCs w:val="21"/>
          <w:lang w:eastAsia="fr-FR"/>
          <w14:ligatures w14:val="none"/>
        </w:rPr>
        <w:t>-X, UBL, CII) ;</w:t>
      </w:r>
    </w:p>
    <w:p w14:paraId="19BA677F" w14:textId="77777777" w:rsidR="002D1BA2" w:rsidRPr="00A8073C" w:rsidRDefault="002D1BA2" w:rsidP="002D1BA2">
      <w:pPr>
        <w:shd w:val="clear" w:color="auto" w:fill="FFFFFF"/>
        <w:spacing w:after="120" w:line="240" w:lineRule="atLeast"/>
        <w:ind w:left="426"/>
        <w:jc w:val="both"/>
        <w:rPr>
          <w:rFonts w:ascii="Arial" w:eastAsia="Times New Roman" w:hAnsi="Arial" w:cs="Arial"/>
          <w:color w:val="4A4A52"/>
          <w:kern w:val="0"/>
          <w:sz w:val="23"/>
          <w:szCs w:val="23"/>
          <w:lang w:eastAsia="fr-FR"/>
          <w14:ligatures w14:val="none"/>
        </w:rPr>
      </w:pPr>
      <w:r w:rsidRPr="00A8073C">
        <w:rPr>
          <w:rFonts w:ascii="Arial" w:eastAsia="Times New Roman" w:hAnsi="Arial" w:cs="Arial"/>
          <w:color w:val="4A4A52"/>
          <w:kern w:val="0"/>
          <w:sz w:val="20"/>
          <w:szCs w:val="20"/>
          <w:lang w:eastAsia="fr-FR"/>
          <w14:ligatures w14:val="none"/>
        </w:rPr>
        <w:t>·     </w:t>
      </w:r>
      <w:r w:rsidRPr="00A8073C">
        <w:rPr>
          <w:rFonts w:ascii="Arial" w:eastAsia="Times New Roman" w:hAnsi="Arial" w:cs="Arial"/>
          <w:color w:val="4A4A52"/>
          <w:kern w:val="0"/>
          <w:sz w:val="23"/>
          <w:szCs w:val="23"/>
          <w:lang w:eastAsia="fr-FR"/>
          <w14:ligatures w14:val="none"/>
        </w:rPr>
        <w:t> </w:t>
      </w:r>
      <w:r w:rsidRPr="00A8073C">
        <w:rPr>
          <w:rFonts w:ascii="Arial" w:eastAsia="Times New Roman" w:hAnsi="Arial" w:cs="Arial"/>
          <w:color w:val="4A4A52"/>
          <w:kern w:val="0"/>
          <w:sz w:val="21"/>
          <w:szCs w:val="21"/>
          <w:lang w:eastAsia="fr-FR"/>
          <w14:ligatures w14:val="none"/>
        </w:rPr>
        <w:t>Les administrations sont </w:t>
      </w:r>
      <w:r w:rsidRPr="00A8073C">
        <w:rPr>
          <w:rFonts w:ascii="Arial" w:eastAsia="Times New Roman" w:hAnsi="Arial" w:cs="Arial"/>
          <w:b/>
          <w:bCs/>
          <w:color w:val="4A4A52"/>
          <w:kern w:val="0"/>
          <w:sz w:val="21"/>
          <w:szCs w:val="21"/>
          <w:lang w:eastAsia="fr-FR"/>
          <w14:ligatures w14:val="none"/>
        </w:rPr>
        <w:t>tenues</w:t>
      </w:r>
      <w:r w:rsidRPr="00A8073C">
        <w:rPr>
          <w:rFonts w:ascii="Arial" w:eastAsia="Times New Roman" w:hAnsi="Arial" w:cs="Arial"/>
          <w:color w:val="4A4A52"/>
          <w:kern w:val="0"/>
          <w:sz w:val="23"/>
          <w:szCs w:val="23"/>
          <w:lang w:eastAsia="fr-FR"/>
          <w14:ligatures w14:val="none"/>
        </w:rPr>
        <w:t> </w:t>
      </w:r>
      <w:r w:rsidRPr="00A8073C">
        <w:rPr>
          <w:rFonts w:ascii="Arial" w:eastAsia="Times New Roman" w:hAnsi="Arial" w:cs="Arial"/>
          <w:color w:val="4A4A52"/>
          <w:kern w:val="0"/>
          <w:sz w:val="21"/>
          <w:szCs w:val="21"/>
          <w:lang w:eastAsia="fr-FR"/>
          <w14:ligatures w14:val="none"/>
        </w:rPr>
        <w:t>d’utiliser Chorus Pro pour la réception, le traitement (y compris les statuts de facture) et l’échange de ces factures au sein de la sphère publique.</w:t>
      </w:r>
    </w:p>
    <w:p w14:paraId="1F2137C6" w14:textId="77777777" w:rsidR="002D1BA2" w:rsidRPr="00A8073C" w:rsidRDefault="002D1BA2" w:rsidP="002D1BA2">
      <w:pPr>
        <w:shd w:val="clear" w:color="auto" w:fill="FFFFFF"/>
        <w:spacing w:before="280" w:after="120" w:line="240" w:lineRule="atLeast"/>
        <w:jc w:val="both"/>
        <w:rPr>
          <w:rFonts w:ascii="Arial" w:eastAsia="Times New Roman" w:hAnsi="Arial" w:cs="Arial"/>
          <w:color w:val="4A4A52"/>
          <w:kern w:val="0"/>
          <w:sz w:val="23"/>
          <w:szCs w:val="23"/>
          <w:lang w:eastAsia="fr-FR"/>
          <w14:ligatures w14:val="none"/>
        </w:rPr>
      </w:pPr>
      <w:r w:rsidRPr="00A8073C">
        <w:rPr>
          <w:rFonts w:ascii="Arial" w:eastAsia="Times New Roman" w:hAnsi="Arial" w:cs="Arial"/>
          <w:color w:val="4A4A52"/>
          <w:kern w:val="0"/>
          <w:sz w:val="21"/>
          <w:szCs w:val="21"/>
          <w:lang w:eastAsia="fr-FR"/>
          <w14:ligatures w14:val="none"/>
        </w:rPr>
        <w:t>Aussi, de façon à faciliter la mise en œuvre de la réforme de la facturation électronique, c’est la plateforme</w:t>
      </w:r>
      <w:r w:rsidRPr="00A8073C">
        <w:rPr>
          <w:rFonts w:ascii="Arial" w:eastAsia="Times New Roman" w:hAnsi="Arial" w:cs="Arial"/>
          <w:color w:val="4A4A52"/>
          <w:kern w:val="0"/>
          <w:sz w:val="23"/>
          <w:szCs w:val="23"/>
          <w:lang w:eastAsia="fr-FR"/>
          <w14:ligatures w14:val="none"/>
        </w:rPr>
        <w:t> </w:t>
      </w:r>
      <w:r w:rsidRPr="00A8073C">
        <w:rPr>
          <w:rFonts w:ascii="Arial" w:eastAsia="Times New Roman" w:hAnsi="Arial" w:cs="Arial"/>
          <w:b/>
          <w:bCs/>
          <w:color w:val="4A4A52"/>
          <w:kern w:val="0"/>
          <w:sz w:val="21"/>
          <w:szCs w:val="21"/>
          <w:lang w:eastAsia="fr-FR"/>
          <w14:ligatures w14:val="none"/>
        </w:rPr>
        <w:t>Chorus Pro qui sera la plateforme d’émission des factures électroniques vers les structures assujetties à la TVA (entreprises ou entités publiques),</w:t>
      </w:r>
      <w:r w:rsidRPr="00A8073C">
        <w:rPr>
          <w:rFonts w:ascii="Arial" w:eastAsia="Times New Roman" w:hAnsi="Arial" w:cs="Arial"/>
          <w:color w:val="4A4A52"/>
          <w:kern w:val="0"/>
          <w:sz w:val="23"/>
          <w:szCs w:val="23"/>
          <w:lang w:eastAsia="fr-FR"/>
          <w14:ligatures w14:val="none"/>
        </w:rPr>
        <w:t> </w:t>
      </w:r>
      <w:r w:rsidRPr="00A8073C">
        <w:rPr>
          <w:rFonts w:ascii="Arial" w:eastAsia="Times New Roman" w:hAnsi="Arial" w:cs="Arial"/>
          <w:b/>
          <w:bCs/>
          <w:color w:val="4A4A52"/>
          <w:kern w:val="0"/>
          <w:sz w:val="21"/>
          <w:szCs w:val="21"/>
          <w:lang w:eastAsia="fr-FR"/>
          <w14:ligatures w14:val="none"/>
        </w:rPr>
        <w:t>en complément de son rôle actuel de réception des factures qu’elle conserve.</w:t>
      </w:r>
    </w:p>
    <w:p w14:paraId="58656917" w14:textId="77777777" w:rsidR="002D1BA2" w:rsidRPr="00A8073C" w:rsidRDefault="002D1BA2" w:rsidP="002D1BA2">
      <w:pPr>
        <w:shd w:val="clear" w:color="auto" w:fill="FFFFFF"/>
        <w:spacing w:before="280" w:after="120" w:line="240" w:lineRule="atLeast"/>
        <w:jc w:val="both"/>
        <w:rPr>
          <w:rFonts w:ascii="Arial" w:eastAsia="Times New Roman" w:hAnsi="Arial" w:cs="Arial"/>
          <w:color w:val="4A4A52"/>
          <w:kern w:val="0"/>
          <w:sz w:val="23"/>
          <w:szCs w:val="23"/>
          <w:lang w:eastAsia="fr-FR"/>
          <w14:ligatures w14:val="none"/>
        </w:rPr>
      </w:pPr>
      <w:r w:rsidRPr="00A8073C">
        <w:rPr>
          <w:rFonts w:ascii="Arial" w:eastAsia="Times New Roman" w:hAnsi="Arial" w:cs="Arial"/>
          <w:color w:val="4A4A52"/>
          <w:kern w:val="0"/>
          <w:sz w:val="21"/>
          <w:szCs w:val="21"/>
          <w:lang w:eastAsia="fr-FR"/>
          <w14:ligatures w14:val="none"/>
        </w:rPr>
        <w:t>Chorus Pro jouera ainsi pleinement le rôle de </w:t>
      </w:r>
      <w:r w:rsidRPr="00A8073C">
        <w:rPr>
          <w:rFonts w:ascii="Arial" w:eastAsia="Times New Roman" w:hAnsi="Arial" w:cs="Arial"/>
          <w:b/>
          <w:bCs/>
          <w:color w:val="4A4A52"/>
          <w:kern w:val="0"/>
          <w:sz w:val="21"/>
          <w:szCs w:val="21"/>
          <w:lang w:eastAsia="fr-FR"/>
          <w14:ligatures w14:val="none"/>
        </w:rPr>
        <w:t>« plateforme du secteur public » pour les entités publiques émettrices (Etat, opérateurs, secteur public local)</w:t>
      </w:r>
      <w:r w:rsidRPr="00A8073C">
        <w:rPr>
          <w:rFonts w:ascii="Arial" w:eastAsia="Times New Roman" w:hAnsi="Arial" w:cs="Arial"/>
          <w:color w:val="4A4A52"/>
          <w:kern w:val="0"/>
          <w:sz w:val="23"/>
          <w:szCs w:val="23"/>
          <w:lang w:eastAsia="fr-FR"/>
          <w14:ligatures w14:val="none"/>
        </w:rPr>
        <w:t> </w:t>
      </w:r>
      <w:r w:rsidRPr="00A8073C">
        <w:rPr>
          <w:rFonts w:ascii="Arial" w:eastAsia="Times New Roman" w:hAnsi="Arial" w:cs="Arial"/>
          <w:color w:val="4A4A52"/>
          <w:kern w:val="0"/>
          <w:sz w:val="21"/>
          <w:szCs w:val="21"/>
          <w:lang w:eastAsia="fr-FR"/>
          <w14:ligatures w14:val="none"/>
        </w:rPr>
        <w:t>et assurera également la </w:t>
      </w:r>
      <w:r w:rsidRPr="00A8073C">
        <w:rPr>
          <w:rFonts w:ascii="Arial" w:eastAsia="Times New Roman" w:hAnsi="Arial" w:cs="Arial"/>
          <w:b/>
          <w:bCs/>
          <w:color w:val="4A4A52"/>
          <w:kern w:val="0"/>
          <w:sz w:val="21"/>
          <w:szCs w:val="21"/>
          <w:lang w:eastAsia="fr-FR"/>
          <w14:ligatures w14:val="none"/>
        </w:rPr>
        <w:t>transmission des données de transaction et de paiement</w:t>
      </w:r>
      <w:r w:rsidRPr="00A8073C">
        <w:rPr>
          <w:rFonts w:ascii="Arial" w:eastAsia="Times New Roman" w:hAnsi="Arial" w:cs="Arial"/>
          <w:color w:val="4A4A52"/>
          <w:kern w:val="0"/>
          <w:sz w:val="21"/>
          <w:szCs w:val="21"/>
          <w:lang w:eastAsia="fr-FR"/>
          <w14:ligatures w14:val="none"/>
        </w:rPr>
        <w:t>.</w:t>
      </w:r>
    </w:p>
    <w:p w14:paraId="457D801B" w14:textId="77777777" w:rsidR="002D1BA2" w:rsidRPr="00A8073C" w:rsidRDefault="002D1BA2" w:rsidP="002D1BA2">
      <w:pPr>
        <w:shd w:val="clear" w:color="auto" w:fill="FFFFFF"/>
        <w:spacing w:before="240" w:after="120" w:line="240" w:lineRule="atLeast"/>
        <w:jc w:val="both"/>
        <w:rPr>
          <w:rFonts w:ascii="Arial" w:eastAsia="Times New Roman" w:hAnsi="Arial" w:cs="Arial"/>
          <w:color w:val="4A4A52"/>
          <w:kern w:val="0"/>
          <w:sz w:val="23"/>
          <w:szCs w:val="23"/>
          <w:lang w:eastAsia="fr-FR"/>
          <w14:ligatures w14:val="none"/>
        </w:rPr>
      </w:pPr>
      <w:r w:rsidRPr="00A8073C">
        <w:rPr>
          <w:rFonts w:ascii="Arial" w:eastAsia="Times New Roman" w:hAnsi="Arial" w:cs="Arial"/>
          <w:b/>
          <w:bCs/>
          <w:color w:val="4A4A52"/>
          <w:kern w:val="0"/>
          <w:sz w:val="21"/>
          <w:szCs w:val="21"/>
          <w:u w:val="single"/>
          <w:lang w:eastAsia="fr-FR"/>
          <w14:ligatures w14:val="none"/>
        </w:rPr>
        <w:t>Un double objectif : continuité et simplification</w:t>
      </w:r>
    </w:p>
    <w:p w14:paraId="7AA86319" w14:textId="77777777" w:rsidR="002D1BA2" w:rsidRPr="00A8073C" w:rsidRDefault="002D1BA2" w:rsidP="002D1BA2">
      <w:pPr>
        <w:shd w:val="clear" w:color="auto" w:fill="FFFFFF"/>
        <w:spacing w:before="280" w:after="120" w:line="240" w:lineRule="atLeast"/>
        <w:jc w:val="both"/>
        <w:rPr>
          <w:rFonts w:ascii="Arial" w:eastAsia="Times New Roman" w:hAnsi="Arial" w:cs="Arial"/>
          <w:color w:val="4A4A52"/>
          <w:kern w:val="0"/>
          <w:sz w:val="23"/>
          <w:szCs w:val="23"/>
          <w:lang w:eastAsia="fr-FR"/>
          <w14:ligatures w14:val="none"/>
        </w:rPr>
      </w:pPr>
      <w:r w:rsidRPr="00A8073C">
        <w:rPr>
          <w:rFonts w:ascii="Arial" w:eastAsia="Times New Roman" w:hAnsi="Arial" w:cs="Arial"/>
          <w:color w:val="4A4A52"/>
          <w:kern w:val="0"/>
          <w:sz w:val="21"/>
          <w:szCs w:val="21"/>
          <w:lang w:eastAsia="fr-FR"/>
          <w14:ligatures w14:val="none"/>
        </w:rPr>
        <w:t>Cette orientation vise à :</w:t>
      </w:r>
    </w:p>
    <w:p w14:paraId="28EEA760" w14:textId="77777777" w:rsidR="002D1BA2" w:rsidRPr="00A8073C" w:rsidRDefault="002D1BA2" w:rsidP="002D1BA2">
      <w:pPr>
        <w:shd w:val="clear" w:color="auto" w:fill="FFFFFF"/>
        <w:spacing w:before="280" w:after="0" w:line="240" w:lineRule="atLeast"/>
        <w:ind w:left="426"/>
        <w:jc w:val="both"/>
        <w:rPr>
          <w:rFonts w:ascii="Arial" w:eastAsia="Times New Roman" w:hAnsi="Arial" w:cs="Arial"/>
          <w:color w:val="4A4A52"/>
          <w:kern w:val="0"/>
          <w:sz w:val="23"/>
          <w:szCs w:val="23"/>
          <w:lang w:eastAsia="fr-FR"/>
          <w14:ligatures w14:val="none"/>
        </w:rPr>
      </w:pPr>
      <w:r w:rsidRPr="00A8073C">
        <w:rPr>
          <w:rFonts w:ascii="Arial" w:eastAsia="Times New Roman" w:hAnsi="Arial" w:cs="Arial"/>
          <w:color w:val="4A4A52"/>
          <w:kern w:val="0"/>
          <w:sz w:val="20"/>
          <w:szCs w:val="20"/>
          <w:lang w:eastAsia="fr-FR"/>
          <w14:ligatures w14:val="none"/>
        </w:rPr>
        <w:t>·     </w:t>
      </w:r>
      <w:r w:rsidRPr="00A8073C">
        <w:rPr>
          <w:rFonts w:ascii="Arial" w:eastAsia="Times New Roman" w:hAnsi="Arial" w:cs="Arial"/>
          <w:color w:val="4A4A52"/>
          <w:kern w:val="0"/>
          <w:sz w:val="23"/>
          <w:szCs w:val="23"/>
          <w:lang w:eastAsia="fr-FR"/>
          <w14:ligatures w14:val="none"/>
        </w:rPr>
        <w:t> </w:t>
      </w:r>
      <w:r w:rsidRPr="00A8073C">
        <w:rPr>
          <w:rFonts w:ascii="Arial" w:eastAsia="Times New Roman" w:hAnsi="Arial" w:cs="Arial"/>
          <w:b/>
          <w:bCs/>
          <w:color w:val="4A4A52"/>
          <w:kern w:val="0"/>
          <w:sz w:val="21"/>
          <w:szCs w:val="21"/>
          <w:lang w:eastAsia="fr-FR"/>
          <w14:ligatures w14:val="none"/>
        </w:rPr>
        <w:t>Simplifier la vie des entreprises</w:t>
      </w:r>
      <w:r w:rsidRPr="00A8073C">
        <w:rPr>
          <w:rFonts w:ascii="Arial" w:eastAsia="Times New Roman" w:hAnsi="Arial" w:cs="Arial"/>
          <w:color w:val="4A4A52"/>
          <w:kern w:val="0"/>
          <w:sz w:val="23"/>
          <w:szCs w:val="23"/>
          <w:lang w:eastAsia="fr-FR"/>
          <w14:ligatures w14:val="none"/>
        </w:rPr>
        <w:t> </w:t>
      </w:r>
      <w:r w:rsidRPr="00A8073C">
        <w:rPr>
          <w:rFonts w:ascii="Arial" w:eastAsia="Times New Roman" w:hAnsi="Arial" w:cs="Arial"/>
          <w:color w:val="4A4A52"/>
          <w:kern w:val="0"/>
          <w:sz w:val="21"/>
          <w:szCs w:val="21"/>
          <w:lang w:eastAsia="fr-FR"/>
          <w14:ligatures w14:val="none"/>
        </w:rPr>
        <w:t>en leur permettant de capitaliser sur leurs modalités et solutions actuelles d’échange de factures avec les administrations et organismes publics (outil de facturation et plateforme de dématérialisation partenaire) ;</w:t>
      </w:r>
      <w:r w:rsidRPr="00A8073C">
        <w:rPr>
          <w:rFonts w:ascii="Arial" w:eastAsia="Times New Roman" w:hAnsi="Arial" w:cs="Arial"/>
          <w:b/>
          <w:bCs/>
          <w:color w:val="4A4A52"/>
          <w:kern w:val="0"/>
          <w:sz w:val="21"/>
          <w:szCs w:val="21"/>
          <w:lang w:eastAsia="fr-FR"/>
          <w14:ligatures w14:val="none"/>
        </w:rPr>
        <w:t> </w:t>
      </w:r>
    </w:p>
    <w:p w14:paraId="6697D9ED" w14:textId="77777777" w:rsidR="002D1BA2" w:rsidRPr="00A8073C" w:rsidRDefault="002D1BA2" w:rsidP="002D1BA2">
      <w:pPr>
        <w:shd w:val="clear" w:color="auto" w:fill="FFFFFF"/>
        <w:spacing w:after="120" w:line="240" w:lineRule="atLeast"/>
        <w:ind w:left="426"/>
        <w:jc w:val="both"/>
        <w:rPr>
          <w:rFonts w:ascii="Arial" w:eastAsia="Times New Roman" w:hAnsi="Arial" w:cs="Arial"/>
          <w:color w:val="4A4A52"/>
          <w:kern w:val="0"/>
          <w:sz w:val="23"/>
          <w:szCs w:val="23"/>
          <w:lang w:eastAsia="fr-FR"/>
          <w14:ligatures w14:val="none"/>
        </w:rPr>
      </w:pPr>
      <w:r w:rsidRPr="00A8073C">
        <w:rPr>
          <w:rFonts w:ascii="Arial" w:eastAsia="Times New Roman" w:hAnsi="Arial" w:cs="Arial"/>
          <w:color w:val="4A4A52"/>
          <w:kern w:val="0"/>
          <w:sz w:val="20"/>
          <w:szCs w:val="20"/>
          <w:lang w:eastAsia="fr-FR"/>
          <w14:ligatures w14:val="none"/>
        </w:rPr>
        <w:t>·     </w:t>
      </w:r>
      <w:r w:rsidRPr="00A8073C">
        <w:rPr>
          <w:rFonts w:ascii="Arial" w:eastAsia="Times New Roman" w:hAnsi="Arial" w:cs="Arial"/>
          <w:color w:val="4A4A52"/>
          <w:kern w:val="0"/>
          <w:sz w:val="23"/>
          <w:szCs w:val="23"/>
          <w:lang w:eastAsia="fr-FR"/>
          <w14:ligatures w14:val="none"/>
        </w:rPr>
        <w:t> </w:t>
      </w:r>
      <w:r w:rsidRPr="00A8073C">
        <w:rPr>
          <w:rFonts w:ascii="Arial" w:eastAsia="Times New Roman" w:hAnsi="Arial" w:cs="Arial"/>
          <w:b/>
          <w:bCs/>
          <w:color w:val="4A4A52"/>
          <w:kern w:val="0"/>
          <w:sz w:val="21"/>
          <w:szCs w:val="21"/>
          <w:lang w:eastAsia="fr-FR"/>
          <w14:ligatures w14:val="none"/>
        </w:rPr>
        <w:t>Poursuivre la transition engagée par les administrations en 2017</w:t>
      </w:r>
      <w:r w:rsidRPr="00A8073C">
        <w:rPr>
          <w:rFonts w:ascii="Arial" w:eastAsia="Times New Roman" w:hAnsi="Arial" w:cs="Arial"/>
          <w:color w:val="4A4A52"/>
          <w:kern w:val="0"/>
          <w:sz w:val="21"/>
          <w:szCs w:val="21"/>
          <w:lang w:eastAsia="fr-FR"/>
          <w14:ligatures w14:val="none"/>
        </w:rPr>
        <w:t>, en s’appuyant sur un outil déjà connecté à l’ensemble des systèmes publics et maîtrisé par les acteurs.</w:t>
      </w:r>
    </w:p>
    <w:p w14:paraId="6A9040F2" w14:textId="77777777" w:rsidR="002D1BA2" w:rsidRPr="00A8073C" w:rsidRDefault="002D1BA2" w:rsidP="002D1BA2">
      <w:pPr>
        <w:shd w:val="clear" w:color="auto" w:fill="FFFFFF"/>
        <w:spacing w:before="240" w:after="120" w:line="240" w:lineRule="atLeast"/>
        <w:jc w:val="both"/>
        <w:rPr>
          <w:rFonts w:ascii="Arial" w:eastAsia="Times New Roman" w:hAnsi="Arial" w:cs="Arial"/>
          <w:color w:val="4A4A52"/>
          <w:kern w:val="0"/>
          <w:sz w:val="23"/>
          <w:szCs w:val="23"/>
          <w:lang w:eastAsia="fr-FR"/>
          <w14:ligatures w14:val="none"/>
        </w:rPr>
      </w:pPr>
      <w:r w:rsidRPr="00A8073C">
        <w:rPr>
          <w:rFonts w:ascii="Arial" w:eastAsia="Times New Roman" w:hAnsi="Arial" w:cs="Arial"/>
          <w:b/>
          <w:bCs/>
          <w:color w:val="4A4A52"/>
          <w:kern w:val="0"/>
          <w:sz w:val="21"/>
          <w:szCs w:val="21"/>
          <w:u w:val="single"/>
          <w:lang w:eastAsia="fr-FR"/>
          <w14:ligatures w14:val="none"/>
        </w:rPr>
        <w:t>Une phase de transition en faveur des fournisseurs de la sphère publique</w:t>
      </w:r>
    </w:p>
    <w:p w14:paraId="3B187AAD" w14:textId="77777777" w:rsidR="002D1BA2" w:rsidRPr="00A8073C" w:rsidRDefault="002D1BA2" w:rsidP="002D1BA2">
      <w:pPr>
        <w:shd w:val="clear" w:color="auto" w:fill="FFFFFF"/>
        <w:spacing w:before="280" w:after="120" w:line="240" w:lineRule="atLeast"/>
        <w:jc w:val="both"/>
        <w:rPr>
          <w:rFonts w:ascii="Arial" w:eastAsia="Times New Roman" w:hAnsi="Arial" w:cs="Arial"/>
          <w:color w:val="4A4A52"/>
          <w:kern w:val="0"/>
          <w:sz w:val="23"/>
          <w:szCs w:val="23"/>
          <w:lang w:eastAsia="fr-FR"/>
          <w14:ligatures w14:val="none"/>
        </w:rPr>
      </w:pPr>
      <w:r w:rsidRPr="00A8073C">
        <w:rPr>
          <w:rFonts w:ascii="Arial" w:eastAsia="Times New Roman" w:hAnsi="Arial" w:cs="Arial"/>
          <w:b/>
          <w:bCs/>
          <w:color w:val="4A4A52"/>
          <w:kern w:val="0"/>
          <w:sz w:val="21"/>
          <w:szCs w:val="21"/>
          <w:lang w:eastAsia="fr-FR"/>
          <w14:ligatures w14:val="none"/>
        </w:rPr>
        <w:t>A compter de septembre 2026, les entreprises fournisseurs de la sphère publique auront le choix de transmettre leurs factures :</w:t>
      </w:r>
    </w:p>
    <w:p w14:paraId="352714DE" w14:textId="77777777" w:rsidR="002D1BA2" w:rsidRPr="00A8073C" w:rsidRDefault="002D1BA2" w:rsidP="002D1BA2">
      <w:pPr>
        <w:shd w:val="clear" w:color="auto" w:fill="FFFFFF"/>
        <w:spacing w:before="280" w:after="0" w:line="240" w:lineRule="atLeast"/>
        <w:ind w:left="426"/>
        <w:jc w:val="both"/>
        <w:rPr>
          <w:rFonts w:ascii="Arial" w:eastAsia="Times New Roman" w:hAnsi="Arial" w:cs="Arial"/>
          <w:color w:val="4A4A52"/>
          <w:kern w:val="0"/>
          <w:sz w:val="23"/>
          <w:szCs w:val="23"/>
          <w:lang w:eastAsia="fr-FR"/>
          <w14:ligatures w14:val="none"/>
        </w:rPr>
      </w:pPr>
      <w:r w:rsidRPr="00A8073C">
        <w:rPr>
          <w:rFonts w:ascii="Arial" w:eastAsia="Times New Roman" w:hAnsi="Arial" w:cs="Arial"/>
          <w:color w:val="4A4A52"/>
          <w:kern w:val="0"/>
          <w:sz w:val="20"/>
          <w:szCs w:val="20"/>
          <w:lang w:eastAsia="fr-FR"/>
          <w14:ligatures w14:val="none"/>
        </w:rPr>
        <w:t>·     </w:t>
      </w:r>
      <w:r w:rsidRPr="00A8073C">
        <w:rPr>
          <w:rFonts w:ascii="Arial" w:eastAsia="Times New Roman" w:hAnsi="Arial" w:cs="Arial"/>
          <w:color w:val="4A4A52"/>
          <w:kern w:val="0"/>
          <w:sz w:val="23"/>
          <w:szCs w:val="23"/>
          <w:lang w:eastAsia="fr-FR"/>
          <w14:ligatures w14:val="none"/>
        </w:rPr>
        <w:t> </w:t>
      </w:r>
      <w:r w:rsidRPr="00A8073C">
        <w:rPr>
          <w:rFonts w:ascii="Arial" w:eastAsia="Times New Roman" w:hAnsi="Arial" w:cs="Arial"/>
          <w:b/>
          <w:bCs/>
          <w:color w:val="4A4A52"/>
          <w:kern w:val="0"/>
          <w:sz w:val="21"/>
          <w:szCs w:val="21"/>
          <w:lang w:eastAsia="fr-FR"/>
          <w14:ligatures w14:val="none"/>
        </w:rPr>
        <w:t>Soit en ayant recours à une plateforme agréée</w:t>
      </w:r>
      <w:r w:rsidRPr="00A8073C">
        <w:rPr>
          <w:rFonts w:ascii="Arial" w:eastAsia="Times New Roman" w:hAnsi="Arial" w:cs="Arial"/>
          <w:color w:val="4A4A52"/>
          <w:kern w:val="0"/>
          <w:sz w:val="23"/>
          <w:szCs w:val="23"/>
          <w:lang w:eastAsia="fr-FR"/>
          <w14:ligatures w14:val="none"/>
        </w:rPr>
        <w:t> </w:t>
      </w:r>
      <w:r w:rsidRPr="00A8073C">
        <w:rPr>
          <w:rFonts w:ascii="Arial" w:eastAsia="Times New Roman" w:hAnsi="Arial" w:cs="Arial"/>
          <w:color w:val="4A4A52"/>
          <w:kern w:val="0"/>
          <w:sz w:val="21"/>
          <w:szCs w:val="21"/>
          <w:lang w:eastAsia="fr-FR"/>
          <w14:ligatures w14:val="none"/>
        </w:rPr>
        <w:t>(sauf pour les factures de marché de travaux, les mémoires de frais de</w:t>
      </w:r>
      <w:r w:rsidRPr="00A8073C">
        <w:rPr>
          <w:rFonts w:ascii="Arial" w:eastAsia="Times New Roman" w:hAnsi="Arial" w:cs="Arial"/>
          <w:color w:val="4A4A52"/>
          <w:kern w:val="0"/>
          <w:sz w:val="23"/>
          <w:szCs w:val="23"/>
          <w:lang w:eastAsia="fr-FR"/>
          <w14:ligatures w14:val="none"/>
        </w:rPr>
        <w:t> </w:t>
      </w:r>
      <w:r w:rsidRPr="00A8073C">
        <w:rPr>
          <w:rFonts w:ascii="Arial" w:eastAsia="Times New Roman" w:hAnsi="Arial" w:cs="Arial"/>
          <w:color w:val="4A4A52"/>
          <w:kern w:val="0"/>
          <w:sz w:val="21"/>
          <w:szCs w:val="21"/>
          <w:lang w:eastAsia="fr-FR"/>
          <w14:ligatures w14:val="none"/>
        </w:rPr>
        <w:t xml:space="preserve">justice, les demandes de remboursement, et la gestion du </w:t>
      </w:r>
      <w:r w:rsidRPr="00A8073C">
        <w:rPr>
          <w:rFonts w:ascii="Arial" w:eastAsia="Times New Roman" w:hAnsi="Arial" w:cs="Arial"/>
          <w:color w:val="4A4A52"/>
          <w:kern w:val="0"/>
          <w:sz w:val="21"/>
          <w:szCs w:val="21"/>
          <w:lang w:eastAsia="fr-FR"/>
          <w14:ligatures w14:val="none"/>
        </w:rPr>
        <w:lastRenderedPageBreak/>
        <w:t>référentiel des engagements juridiques de la sphère publiques – qui sont des modalités propres à Chorus Pro) ;</w:t>
      </w:r>
    </w:p>
    <w:p w14:paraId="37585035" w14:textId="77777777" w:rsidR="002D1BA2" w:rsidRPr="00A8073C" w:rsidRDefault="002D1BA2" w:rsidP="002D1BA2">
      <w:pPr>
        <w:shd w:val="clear" w:color="auto" w:fill="FFFFFF"/>
        <w:spacing w:after="120" w:line="240" w:lineRule="atLeast"/>
        <w:ind w:left="426"/>
        <w:jc w:val="both"/>
        <w:rPr>
          <w:rFonts w:ascii="Arial" w:eastAsia="Times New Roman" w:hAnsi="Arial" w:cs="Arial"/>
          <w:color w:val="4A4A52"/>
          <w:kern w:val="0"/>
          <w:sz w:val="23"/>
          <w:szCs w:val="23"/>
          <w:lang w:eastAsia="fr-FR"/>
          <w14:ligatures w14:val="none"/>
        </w:rPr>
      </w:pPr>
      <w:r w:rsidRPr="00A8073C">
        <w:rPr>
          <w:rFonts w:ascii="Arial" w:eastAsia="Times New Roman" w:hAnsi="Arial" w:cs="Arial"/>
          <w:color w:val="4A4A52"/>
          <w:kern w:val="0"/>
          <w:sz w:val="20"/>
          <w:szCs w:val="20"/>
          <w:lang w:eastAsia="fr-FR"/>
          <w14:ligatures w14:val="none"/>
        </w:rPr>
        <w:t>·     </w:t>
      </w:r>
      <w:r w:rsidRPr="00A8073C">
        <w:rPr>
          <w:rFonts w:ascii="Arial" w:eastAsia="Times New Roman" w:hAnsi="Arial" w:cs="Arial"/>
          <w:color w:val="4A4A52"/>
          <w:kern w:val="0"/>
          <w:sz w:val="23"/>
          <w:szCs w:val="23"/>
          <w:lang w:eastAsia="fr-FR"/>
          <w14:ligatures w14:val="none"/>
        </w:rPr>
        <w:t> </w:t>
      </w:r>
      <w:r w:rsidRPr="00A8073C">
        <w:rPr>
          <w:rFonts w:ascii="Arial" w:eastAsia="Times New Roman" w:hAnsi="Arial" w:cs="Arial"/>
          <w:b/>
          <w:bCs/>
          <w:color w:val="4A4A52"/>
          <w:kern w:val="0"/>
          <w:sz w:val="21"/>
          <w:szCs w:val="21"/>
          <w:lang w:eastAsia="fr-FR"/>
          <w14:ligatures w14:val="none"/>
        </w:rPr>
        <w:t>Soit en ayant recours à Chorus Pro</w:t>
      </w:r>
      <w:r w:rsidRPr="00A8073C">
        <w:rPr>
          <w:rFonts w:ascii="Arial" w:eastAsia="Times New Roman" w:hAnsi="Arial" w:cs="Arial"/>
          <w:color w:val="4A4A52"/>
          <w:kern w:val="0"/>
          <w:sz w:val="23"/>
          <w:szCs w:val="23"/>
          <w:lang w:eastAsia="fr-FR"/>
          <w14:ligatures w14:val="none"/>
        </w:rPr>
        <w:t> </w:t>
      </w:r>
      <w:r w:rsidRPr="00A8073C">
        <w:rPr>
          <w:rFonts w:ascii="Arial" w:eastAsia="Times New Roman" w:hAnsi="Arial" w:cs="Arial"/>
          <w:color w:val="4A4A52"/>
          <w:kern w:val="0"/>
          <w:sz w:val="21"/>
          <w:szCs w:val="21"/>
          <w:lang w:eastAsia="fr-FR"/>
          <w14:ligatures w14:val="none"/>
        </w:rPr>
        <w:t>et ses modalités d’envoi de factures vers les administrations : l’offre de service (saisie ou dépôt sur le portail, dépôt via EDI ou API) restera accessible pour les entreprises ayant à adresser des factures à l’État, les collectivités locales, les établissements publics et les groupements d’intérêt publics (GIP) nationaux ou tout organisme public.</w:t>
      </w:r>
    </w:p>
    <w:p w14:paraId="5209C6A3" w14:textId="77777777" w:rsidR="002D1BA2" w:rsidRPr="00A8073C" w:rsidRDefault="002D1BA2" w:rsidP="002D1BA2">
      <w:pPr>
        <w:shd w:val="clear" w:color="auto" w:fill="FFFFFF"/>
        <w:spacing w:before="280" w:after="120" w:line="240" w:lineRule="atLeast"/>
        <w:jc w:val="both"/>
        <w:rPr>
          <w:rFonts w:ascii="Arial" w:eastAsia="Times New Roman" w:hAnsi="Arial" w:cs="Arial"/>
          <w:color w:val="4A4A52"/>
          <w:kern w:val="0"/>
          <w:sz w:val="23"/>
          <w:szCs w:val="23"/>
          <w:lang w:eastAsia="fr-FR"/>
          <w14:ligatures w14:val="none"/>
        </w:rPr>
      </w:pPr>
      <w:r w:rsidRPr="00A8073C">
        <w:rPr>
          <w:rFonts w:ascii="Arial" w:eastAsia="Times New Roman" w:hAnsi="Arial" w:cs="Arial"/>
          <w:color w:val="4A4A52"/>
          <w:kern w:val="0"/>
          <w:sz w:val="21"/>
          <w:szCs w:val="21"/>
          <w:lang w:eastAsia="fr-FR"/>
          <w14:ligatures w14:val="none"/>
        </w:rPr>
        <w:t>Il est à noter que les administrations, opérateurs publics ou entités du secteur public local,</w:t>
      </w:r>
      <w:r w:rsidRPr="00A8073C">
        <w:rPr>
          <w:rFonts w:ascii="Arial" w:eastAsia="Times New Roman" w:hAnsi="Arial" w:cs="Arial"/>
          <w:color w:val="4A4A52"/>
          <w:kern w:val="0"/>
          <w:sz w:val="23"/>
          <w:szCs w:val="23"/>
          <w:lang w:eastAsia="fr-FR"/>
          <w14:ligatures w14:val="none"/>
        </w:rPr>
        <w:t> </w:t>
      </w:r>
      <w:r w:rsidRPr="00A8073C">
        <w:rPr>
          <w:rFonts w:ascii="Arial" w:eastAsia="Times New Roman" w:hAnsi="Arial" w:cs="Arial"/>
          <w:color w:val="4A4A52"/>
          <w:kern w:val="0"/>
          <w:sz w:val="21"/>
          <w:szCs w:val="21"/>
          <w:lang w:eastAsia="fr-FR"/>
          <w14:ligatures w14:val="none"/>
        </w:rPr>
        <w:t>qui ne respecteraient pas l’obligation de recourir à Chorus Pro, qui s’impose depuis 2017 doivent, dès maintenant, engager des travaux de mise en conformité afin de s’inscrire dans une trajectoire compatible avec le calendrier de la réforme. A défaut, elles s’exposeraient, à partir de septembre 2026, aux sanctions prévues par la réforme au même titre que toutes les entreprises.</w:t>
      </w:r>
    </w:p>
    <w:p w14:paraId="5C163CB2" w14:textId="77777777" w:rsidR="002D1BA2" w:rsidRPr="00A8073C" w:rsidRDefault="002D1BA2" w:rsidP="002D1BA2">
      <w:pPr>
        <w:shd w:val="clear" w:color="auto" w:fill="FFFFFF"/>
        <w:spacing w:before="240" w:after="120" w:line="240" w:lineRule="atLeast"/>
        <w:jc w:val="both"/>
        <w:rPr>
          <w:rFonts w:ascii="Arial" w:eastAsia="Times New Roman" w:hAnsi="Arial" w:cs="Arial"/>
          <w:color w:val="4A4A52"/>
          <w:kern w:val="0"/>
          <w:sz w:val="23"/>
          <w:szCs w:val="23"/>
          <w:lang w:eastAsia="fr-FR"/>
          <w14:ligatures w14:val="none"/>
        </w:rPr>
      </w:pPr>
      <w:r w:rsidRPr="00A8073C">
        <w:rPr>
          <w:rFonts w:ascii="Arial" w:eastAsia="Times New Roman" w:hAnsi="Arial" w:cs="Arial"/>
          <w:b/>
          <w:bCs/>
          <w:color w:val="4A4A52"/>
          <w:kern w:val="0"/>
          <w:sz w:val="21"/>
          <w:szCs w:val="21"/>
          <w:u w:val="single"/>
          <w:lang w:eastAsia="fr-FR"/>
          <w14:ligatures w14:val="none"/>
        </w:rPr>
        <w:t>Une feuille de route partagée et une mobilisation des éditeurs</w:t>
      </w:r>
    </w:p>
    <w:p w14:paraId="5C235E91" w14:textId="77777777" w:rsidR="002D1BA2" w:rsidRPr="00A8073C" w:rsidRDefault="002D1BA2" w:rsidP="002D1BA2">
      <w:pPr>
        <w:shd w:val="clear" w:color="auto" w:fill="FFFFFF"/>
        <w:spacing w:before="280" w:after="120" w:line="240" w:lineRule="atLeast"/>
        <w:jc w:val="both"/>
        <w:rPr>
          <w:rFonts w:ascii="Arial" w:eastAsia="Times New Roman" w:hAnsi="Arial" w:cs="Arial"/>
          <w:color w:val="4A4A52"/>
          <w:kern w:val="0"/>
          <w:sz w:val="23"/>
          <w:szCs w:val="23"/>
          <w:lang w:eastAsia="fr-FR"/>
          <w14:ligatures w14:val="none"/>
        </w:rPr>
      </w:pPr>
      <w:r w:rsidRPr="00A8073C">
        <w:rPr>
          <w:rFonts w:ascii="Arial" w:eastAsia="Times New Roman" w:hAnsi="Arial" w:cs="Arial"/>
          <w:color w:val="4A4A52"/>
          <w:kern w:val="0"/>
          <w:sz w:val="21"/>
          <w:szCs w:val="21"/>
          <w:lang w:eastAsia="fr-FR"/>
          <w14:ligatures w14:val="none"/>
        </w:rPr>
        <w:t>La mise en œuvre de cette orientation stratégique s’inscrit dans une </w:t>
      </w:r>
      <w:r w:rsidRPr="00A8073C">
        <w:rPr>
          <w:rFonts w:ascii="Arial" w:eastAsia="Times New Roman" w:hAnsi="Arial" w:cs="Arial"/>
          <w:b/>
          <w:bCs/>
          <w:color w:val="4A4A52"/>
          <w:kern w:val="0"/>
          <w:sz w:val="21"/>
          <w:szCs w:val="21"/>
          <w:lang w:eastAsia="fr-FR"/>
          <w14:ligatures w14:val="none"/>
        </w:rPr>
        <w:t>feuille de route conjointe de l’AIFE et de la DGFiP</w:t>
      </w:r>
      <w:r w:rsidRPr="00A8073C">
        <w:rPr>
          <w:rFonts w:ascii="Arial" w:eastAsia="Times New Roman" w:hAnsi="Arial" w:cs="Arial"/>
          <w:color w:val="4A4A52"/>
          <w:kern w:val="0"/>
          <w:sz w:val="21"/>
          <w:szCs w:val="21"/>
          <w:lang w:eastAsia="fr-FR"/>
          <w14:ligatures w14:val="none"/>
        </w:rPr>
        <w:t>, qui prévoit l’entrée du secteur public dans la réforme à partir de septembre 2026, sur l’ensemble des volets : réception et émission de factures (e-</w:t>
      </w:r>
      <w:proofErr w:type="spellStart"/>
      <w:r w:rsidRPr="00A8073C">
        <w:rPr>
          <w:rFonts w:ascii="Arial" w:eastAsia="Times New Roman" w:hAnsi="Arial" w:cs="Arial"/>
          <w:color w:val="4A4A52"/>
          <w:kern w:val="0"/>
          <w:sz w:val="21"/>
          <w:szCs w:val="21"/>
          <w:lang w:eastAsia="fr-FR"/>
          <w14:ligatures w14:val="none"/>
        </w:rPr>
        <w:t>invoicing</w:t>
      </w:r>
      <w:proofErr w:type="spellEnd"/>
      <w:r w:rsidRPr="00A8073C">
        <w:rPr>
          <w:rFonts w:ascii="Arial" w:eastAsia="Times New Roman" w:hAnsi="Arial" w:cs="Arial"/>
          <w:color w:val="4A4A52"/>
          <w:kern w:val="0"/>
          <w:sz w:val="21"/>
          <w:szCs w:val="21"/>
          <w:lang w:eastAsia="fr-FR"/>
          <w14:ligatures w14:val="none"/>
        </w:rPr>
        <w:t>), transmission des données (e-</w:t>
      </w:r>
      <w:proofErr w:type="spellStart"/>
      <w:r w:rsidRPr="00A8073C">
        <w:rPr>
          <w:rFonts w:ascii="Arial" w:eastAsia="Times New Roman" w:hAnsi="Arial" w:cs="Arial"/>
          <w:color w:val="4A4A52"/>
          <w:kern w:val="0"/>
          <w:sz w:val="21"/>
          <w:szCs w:val="21"/>
          <w:lang w:eastAsia="fr-FR"/>
          <w14:ligatures w14:val="none"/>
        </w:rPr>
        <w:t>reporting</w:t>
      </w:r>
      <w:proofErr w:type="spellEnd"/>
      <w:r w:rsidRPr="00A8073C">
        <w:rPr>
          <w:rFonts w:ascii="Arial" w:eastAsia="Times New Roman" w:hAnsi="Arial" w:cs="Arial"/>
          <w:color w:val="4A4A52"/>
          <w:kern w:val="0"/>
          <w:sz w:val="21"/>
          <w:szCs w:val="21"/>
          <w:lang w:eastAsia="fr-FR"/>
          <w14:ligatures w14:val="none"/>
        </w:rPr>
        <w:t>).</w:t>
      </w:r>
    </w:p>
    <w:p w14:paraId="53EFBBB6" w14:textId="77777777" w:rsidR="002D1BA2" w:rsidRPr="00A8073C" w:rsidRDefault="002D1BA2" w:rsidP="002D1BA2">
      <w:pPr>
        <w:shd w:val="clear" w:color="auto" w:fill="FFFFFF"/>
        <w:spacing w:before="280" w:after="120" w:line="240" w:lineRule="atLeast"/>
        <w:jc w:val="both"/>
        <w:rPr>
          <w:rFonts w:ascii="Arial" w:eastAsia="Times New Roman" w:hAnsi="Arial" w:cs="Arial"/>
          <w:color w:val="4A4A52"/>
          <w:kern w:val="0"/>
          <w:sz w:val="23"/>
          <w:szCs w:val="23"/>
          <w:lang w:eastAsia="fr-FR"/>
          <w14:ligatures w14:val="none"/>
        </w:rPr>
      </w:pPr>
      <w:r w:rsidRPr="00A8073C">
        <w:rPr>
          <w:rFonts w:ascii="Arial" w:eastAsia="Times New Roman" w:hAnsi="Arial" w:cs="Arial"/>
          <w:color w:val="4A4A52"/>
          <w:kern w:val="0"/>
          <w:sz w:val="21"/>
          <w:szCs w:val="21"/>
          <w:lang w:eastAsia="fr-FR"/>
          <w14:ligatures w14:val="none"/>
        </w:rPr>
        <w:t>Dans le prolongement des travaux engagés avec les éditeurs de solutions de gestion et de facturation du secteur public local, des établissements publics et les groupements d’intérêt publics (GIP) nationaux, une </w:t>
      </w:r>
      <w:r w:rsidRPr="00A8073C">
        <w:rPr>
          <w:rFonts w:ascii="Arial" w:eastAsia="Times New Roman" w:hAnsi="Arial" w:cs="Arial"/>
          <w:b/>
          <w:bCs/>
          <w:color w:val="4A4A52"/>
          <w:kern w:val="0"/>
          <w:sz w:val="21"/>
          <w:szCs w:val="21"/>
          <w:lang w:eastAsia="fr-FR"/>
          <w14:ligatures w14:val="none"/>
        </w:rPr>
        <w:t>journée d’étude dédiée aux éditeurs</w:t>
      </w:r>
      <w:r w:rsidRPr="00A8073C">
        <w:rPr>
          <w:rFonts w:ascii="Arial" w:eastAsia="Times New Roman" w:hAnsi="Arial" w:cs="Arial"/>
          <w:color w:val="4A4A52"/>
          <w:kern w:val="0"/>
          <w:sz w:val="21"/>
          <w:szCs w:val="21"/>
          <w:lang w:eastAsia="fr-FR"/>
          <w14:ligatures w14:val="none"/>
        </w:rPr>
        <w:t> sera organisée fin octobre 2025. Elle permettra de détailler le dispositif et de répondre aux questions techniques et opérationnelles de chacun des acteurs concernés.</w:t>
      </w:r>
    </w:p>
    <w:p w14:paraId="2F01298F" w14:textId="77777777" w:rsidR="002D1BA2" w:rsidRPr="00A8073C" w:rsidRDefault="002D1BA2" w:rsidP="002D1BA2">
      <w:pPr>
        <w:shd w:val="clear" w:color="auto" w:fill="FFFFFF"/>
        <w:spacing w:before="280" w:after="120" w:line="240" w:lineRule="atLeast"/>
        <w:jc w:val="both"/>
        <w:rPr>
          <w:rFonts w:ascii="Arial" w:eastAsia="Times New Roman" w:hAnsi="Arial" w:cs="Arial"/>
          <w:color w:val="4A4A52"/>
          <w:kern w:val="0"/>
          <w:sz w:val="23"/>
          <w:szCs w:val="23"/>
          <w:lang w:eastAsia="fr-FR"/>
          <w14:ligatures w14:val="none"/>
        </w:rPr>
      </w:pPr>
      <w:r w:rsidRPr="00A8073C">
        <w:rPr>
          <w:rFonts w:ascii="Arial" w:eastAsia="Times New Roman" w:hAnsi="Arial" w:cs="Arial"/>
          <w:b/>
          <w:bCs/>
          <w:color w:val="4A4A52"/>
          <w:kern w:val="0"/>
          <w:sz w:val="21"/>
          <w:szCs w:val="21"/>
          <w:u w:val="single"/>
          <w:lang w:eastAsia="fr-FR"/>
          <w14:ligatures w14:val="none"/>
        </w:rPr>
        <w:t>Que doivent faire les administrations pour se préparer ?</w:t>
      </w:r>
    </w:p>
    <w:p w14:paraId="5AA410C4" w14:textId="77777777" w:rsidR="002D1BA2" w:rsidRPr="00A8073C" w:rsidRDefault="002D1BA2" w:rsidP="002D1BA2">
      <w:pPr>
        <w:numPr>
          <w:ilvl w:val="0"/>
          <w:numId w:val="1"/>
        </w:numPr>
        <w:shd w:val="clear" w:color="auto" w:fill="FFFFFF"/>
        <w:spacing w:before="100" w:beforeAutospacing="1" w:after="120" w:line="240" w:lineRule="atLeast"/>
        <w:ind w:left="1095"/>
        <w:jc w:val="both"/>
        <w:rPr>
          <w:rFonts w:ascii="Arial" w:eastAsia="Times New Roman" w:hAnsi="Arial" w:cs="Arial"/>
          <w:color w:val="4A4A52"/>
          <w:kern w:val="0"/>
          <w:sz w:val="23"/>
          <w:szCs w:val="23"/>
          <w:lang w:eastAsia="fr-FR"/>
          <w14:ligatures w14:val="none"/>
        </w:rPr>
      </w:pPr>
      <w:r w:rsidRPr="00A8073C">
        <w:rPr>
          <w:rFonts w:ascii="Arial" w:eastAsia="Times New Roman" w:hAnsi="Arial" w:cs="Arial"/>
          <w:color w:val="4A4A52"/>
          <w:kern w:val="0"/>
          <w:sz w:val="21"/>
          <w:szCs w:val="21"/>
          <w:lang w:eastAsia="fr-FR"/>
          <w14:ligatures w14:val="none"/>
        </w:rPr>
        <w:t>Si l’entité publique utilise déjà un logiciel de gestion financière raccordé à Chorus Pro, il conviendra de se rapprocher de l’éditeur afin de s’assurer qu’il évolue pour répondre aux besoins de la réforme ;</w:t>
      </w:r>
    </w:p>
    <w:p w14:paraId="6324036C" w14:textId="77777777" w:rsidR="002D1BA2" w:rsidRPr="00A8073C" w:rsidRDefault="002D1BA2" w:rsidP="002D1BA2">
      <w:pPr>
        <w:numPr>
          <w:ilvl w:val="0"/>
          <w:numId w:val="1"/>
        </w:numPr>
        <w:shd w:val="clear" w:color="auto" w:fill="FFFFFF"/>
        <w:spacing w:before="100" w:beforeAutospacing="1" w:after="120" w:line="240" w:lineRule="atLeast"/>
        <w:ind w:left="1095"/>
        <w:jc w:val="both"/>
        <w:rPr>
          <w:rFonts w:ascii="Arial" w:eastAsia="Times New Roman" w:hAnsi="Arial" w:cs="Arial"/>
          <w:color w:val="4A4A52"/>
          <w:kern w:val="0"/>
          <w:sz w:val="23"/>
          <w:szCs w:val="23"/>
          <w:lang w:eastAsia="fr-FR"/>
          <w14:ligatures w14:val="none"/>
        </w:rPr>
      </w:pPr>
      <w:r w:rsidRPr="00A8073C">
        <w:rPr>
          <w:rFonts w:ascii="Arial" w:eastAsia="Times New Roman" w:hAnsi="Arial" w:cs="Arial"/>
          <w:color w:val="4A4A52"/>
          <w:kern w:val="0"/>
          <w:sz w:val="21"/>
          <w:szCs w:val="21"/>
          <w:lang w:eastAsia="fr-FR"/>
          <w14:ligatures w14:val="none"/>
        </w:rPr>
        <w:t>Si l’entité publique n’utilise pas encore Chorus pro pour recevoir ou émettre des factures vers d’autres administrations, la recherche d’un logiciel compatible avec les obligations légales et réglementaires existantes est</w:t>
      </w:r>
      <w:r w:rsidRPr="00A8073C">
        <w:rPr>
          <w:rFonts w:ascii="Arial" w:eastAsia="Times New Roman" w:hAnsi="Arial" w:cs="Arial"/>
          <w:color w:val="4A4A52"/>
          <w:kern w:val="0"/>
          <w:sz w:val="23"/>
          <w:szCs w:val="23"/>
          <w:lang w:eastAsia="fr-FR"/>
          <w14:ligatures w14:val="none"/>
        </w:rPr>
        <w:t> </w:t>
      </w:r>
      <w:r w:rsidRPr="00A8073C">
        <w:rPr>
          <w:rFonts w:ascii="Arial" w:eastAsia="Times New Roman" w:hAnsi="Arial" w:cs="Arial"/>
          <w:color w:val="4A4A52"/>
          <w:kern w:val="0"/>
          <w:sz w:val="21"/>
          <w:szCs w:val="21"/>
          <w:lang w:eastAsia="fr-FR"/>
          <w14:ligatures w14:val="none"/>
        </w:rPr>
        <w:t>à</w:t>
      </w:r>
      <w:r w:rsidRPr="00A8073C">
        <w:rPr>
          <w:rFonts w:ascii="Arial" w:eastAsia="Times New Roman" w:hAnsi="Arial" w:cs="Arial"/>
          <w:color w:val="4A4A52"/>
          <w:kern w:val="0"/>
          <w:sz w:val="23"/>
          <w:szCs w:val="23"/>
          <w:lang w:eastAsia="fr-FR"/>
          <w14:ligatures w14:val="none"/>
        </w:rPr>
        <w:t> </w:t>
      </w:r>
      <w:r w:rsidRPr="00A8073C">
        <w:rPr>
          <w:rFonts w:ascii="Arial" w:eastAsia="Times New Roman" w:hAnsi="Arial" w:cs="Arial"/>
          <w:color w:val="4A4A52"/>
          <w:kern w:val="0"/>
          <w:sz w:val="21"/>
          <w:szCs w:val="21"/>
          <w:lang w:eastAsia="fr-FR"/>
          <w14:ligatures w14:val="none"/>
        </w:rPr>
        <w:t>prévoir d’ici la fin de l’année 2025 ;</w:t>
      </w:r>
    </w:p>
    <w:p w14:paraId="77A4265D" w14:textId="77777777" w:rsidR="002D1BA2" w:rsidRPr="00A8073C" w:rsidRDefault="002D1BA2" w:rsidP="002D1BA2">
      <w:pPr>
        <w:shd w:val="clear" w:color="auto" w:fill="FFFFFF"/>
        <w:spacing w:after="120" w:line="240" w:lineRule="atLeast"/>
        <w:jc w:val="both"/>
        <w:rPr>
          <w:rFonts w:ascii="Arial" w:eastAsia="Times New Roman" w:hAnsi="Arial" w:cs="Arial"/>
          <w:color w:val="4A4A52"/>
          <w:kern w:val="0"/>
          <w:sz w:val="23"/>
          <w:szCs w:val="23"/>
          <w:lang w:eastAsia="fr-FR"/>
          <w14:ligatures w14:val="none"/>
        </w:rPr>
      </w:pPr>
      <w:r w:rsidRPr="00A8073C">
        <w:rPr>
          <w:rFonts w:ascii="Arial" w:eastAsia="Times New Roman" w:hAnsi="Arial" w:cs="Arial"/>
          <w:color w:val="4A4A52"/>
          <w:kern w:val="0"/>
          <w:sz w:val="23"/>
          <w:szCs w:val="23"/>
          <w:lang w:eastAsia="fr-FR"/>
          <w14:ligatures w14:val="none"/>
        </w:rPr>
        <w:t> </w:t>
      </w:r>
    </w:p>
    <w:p w14:paraId="6F60BFB5" w14:textId="77777777" w:rsidR="002D1BA2" w:rsidRDefault="002D1BA2" w:rsidP="002D1BA2">
      <w:pPr>
        <w:shd w:val="clear" w:color="auto" w:fill="FFFFFF"/>
        <w:spacing w:after="0" w:line="240" w:lineRule="auto"/>
        <w:rPr>
          <w:rFonts w:ascii="Arial" w:eastAsia="Times New Roman" w:hAnsi="Arial" w:cs="Arial"/>
          <w:b/>
          <w:bCs/>
          <w:color w:val="4A4A52"/>
          <w:kern w:val="0"/>
          <w:sz w:val="23"/>
          <w:szCs w:val="23"/>
          <w:lang w:eastAsia="fr-FR"/>
          <w14:ligatures w14:val="none"/>
        </w:rPr>
      </w:pPr>
      <w:r w:rsidRPr="00A8073C">
        <w:rPr>
          <w:rFonts w:ascii="Arial" w:eastAsia="Times New Roman" w:hAnsi="Arial" w:cs="Arial"/>
          <w:b/>
          <w:bCs/>
          <w:color w:val="4A4A52"/>
          <w:kern w:val="0"/>
          <w:sz w:val="23"/>
          <w:szCs w:val="23"/>
          <w:lang w:eastAsia="fr-FR"/>
          <w14:ligatures w14:val="none"/>
        </w:rPr>
        <w:t>Les éditeurs ont été destinataires de ces informations.</w:t>
      </w:r>
    </w:p>
    <w:p w14:paraId="02311C9F" w14:textId="77777777" w:rsidR="002D1BA2" w:rsidRDefault="002D1BA2"/>
    <w:sectPr w:rsidR="002D1BA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0286A" w14:textId="77777777" w:rsidR="00452942" w:rsidRDefault="00452942" w:rsidP="002D1BA2">
      <w:pPr>
        <w:spacing w:after="0" w:line="240" w:lineRule="auto"/>
      </w:pPr>
      <w:r>
        <w:separator/>
      </w:r>
    </w:p>
  </w:endnote>
  <w:endnote w:type="continuationSeparator" w:id="0">
    <w:p w14:paraId="63294AD2" w14:textId="77777777" w:rsidR="00452942" w:rsidRDefault="00452942" w:rsidP="002D1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0A5FD" w14:textId="77777777" w:rsidR="002D1BA2" w:rsidRDefault="002D1BA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3F411" w14:textId="14AC8E56" w:rsidR="002D1BA2" w:rsidRPr="002D1BA2" w:rsidRDefault="002D1BA2">
    <w:pPr>
      <w:pStyle w:val="Pieddepage"/>
      <w:rPr>
        <w:i/>
        <w:iCs/>
        <w:color w:val="A6A6A6" w:themeColor="background1" w:themeShade="A6"/>
      </w:rPr>
    </w:pPr>
    <w:r w:rsidRPr="002D1BA2">
      <w:rPr>
        <w:i/>
        <w:iCs/>
        <w:color w:val="A6A6A6" w:themeColor="background1" w:themeShade="A6"/>
      </w:rPr>
      <w:t>Site AAC maj aout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B9179" w14:textId="77777777" w:rsidR="002D1BA2" w:rsidRDefault="002D1BA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2ED76" w14:textId="77777777" w:rsidR="00452942" w:rsidRDefault="00452942" w:rsidP="002D1BA2">
      <w:pPr>
        <w:spacing w:after="0" w:line="240" w:lineRule="auto"/>
      </w:pPr>
      <w:r>
        <w:separator/>
      </w:r>
    </w:p>
  </w:footnote>
  <w:footnote w:type="continuationSeparator" w:id="0">
    <w:p w14:paraId="0AA459A0" w14:textId="77777777" w:rsidR="00452942" w:rsidRDefault="00452942" w:rsidP="002D1B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8FB8C" w14:textId="77777777" w:rsidR="002D1BA2" w:rsidRDefault="002D1BA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33900" w14:textId="77777777" w:rsidR="002D1BA2" w:rsidRDefault="002D1BA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18A8B" w14:textId="77777777" w:rsidR="002D1BA2" w:rsidRDefault="002D1BA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71134"/>
    <w:multiLevelType w:val="multilevel"/>
    <w:tmpl w:val="3F6A4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68110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BA2"/>
    <w:rsid w:val="001813F4"/>
    <w:rsid w:val="002D1BA2"/>
    <w:rsid w:val="00306E20"/>
    <w:rsid w:val="00452942"/>
    <w:rsid w:val="00AF7E60"/>
    <w:rsid w:val="00BD434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3F40985A"/>
  <w15:chartTrackingRefBased/>
  <w15:docId w15:val="{B22C8E52-F2B3-461B-A43C-5D98F8604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BA2"/>
  </w:style>
  <w:style w:type="paragraph" w:styleId="Titre1">
    <w:name w:val="heading 1"/>
    <w:basedOn w:val="Normal"/>
    <w:next w:val="Normal"/>
    <w:link w:val="Titre1Car"/>
    <w:uiPriority w:val="9"/>
    <w:qFormat/>
    <w:rsid w:val="002D1B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D1B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D1BA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D1BA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D1BA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D1BA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D1BA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D1BA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D1BA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D1BA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D1BA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D1BA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D1BA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D1BA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D1BA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D1BA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D1BA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D1BA2"/>
    <w:rPr>
      <w:rFonts w:eastAsiaTheme="majorEastAsia" w:cstheme="majorBidi"/>
      <w:color w:val="272727" w:themeColor="text1" w:themeTint="D8"/>
    </w:rPr>
  </w:style>
  <w:style w:type="paragraph" w:styleId="Titre">
    <w:name w:val="Title"/>
    <w:basedOn w:val="Normal"/>
    <w:next w:val="Normal"/>
    <w:link w:val="TitreCar"/>
    <w:uiPriority w:val="10"/>
    <w:qFormat/>
    <w:rsid w:val="002D1B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D1BA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D1BA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D1BA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D1BA2"/>
    <w:pPr>
      <w:spacing w:before="160"/>
      <w:jc w:val="center"/>
    </w:pPr>
    <w:rPr>
      <w:i/>
      <w:iCs/>
      <w:color w:val="404040" w:themeColor="text1" w:themeTint="BF"/>
    </w:rPr>
  </w:style>
  <w:style w:type="character" w:customStyle="1" w:styleId="CitationCar">
    <w:name w:val="Citation Car"/>
    <w:basedOn w:val="Policepardfaut"/>
    <w:link w:val="Citation"/>
    <w:uiPriority w:val="29"/>
    <w:rsid w:val="002D1BA2"/>
    <w:rPr>
      <w:i/>
      <w:iCs/>
      <w:color w:val="404040" w:themeColor="text1" w:themeTint="BF"/>
    </w:rPr>
  </w:style>
  <w:style w:type="paragraph" w:styleId="Paragraphedeliste">
    <w:name w:val="List Paragraph"/>
    <w:basedOn w:val="Normal"/>
    <w:uiPriority w:val="34"/>
    <w:qFormat/>
    <w:rsid w:val="002D1BA2"/>
    <w:pPr>
      <w:ind w:left="720"/>
      <w:contextualSpacing/>
    </w:pPr>
  </w:style>
  <w:style w:type="character" w:styleId="Accentuationintense">
    <w:name w:val="Intense Emphasis"/>
    <w:basedOn w:val="Policepardfaut"/>
    <w:uiPriority w:val="21"/>
    <w:qFormat/>
    <w:rsid w:val="002D1BA2"/>
    <w:rPr>
      <w:i/>
      <w:iCs/>
      <w:color w:val="0F4761" w:themeColor="accent1" w:themeShade="BF"/>
    </w:rPr>
  </w:style>
  <w:style w:type="paragraph" w:styleId="Citationintense">
    <w:name w:val="Intense Quote"/>
    <w:basedOn w:val="Normal"/>
    <w:next w:val="Normal"/>
    <w:link w:val="CitationintenseCar"/>
    <w:uiPriority w:val="30"/>
    <w:qFormat/>
    <w:rsid w:val="002D1B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D1BA2"/>
    <w:rPr>
      <w:i/>
      <w:iCs/>
      <w:color w:val="0F4761" w:themeColor="accent1" w:themeShade="BF"/>
    </w:rPr>
  </w:style>
  <w:style w:type="character" w:styleId="Rfrenceintense">
    <w:name w:val="Intense Reference"/>
    <w:basedOn w:val="Policepardfaut"/>
    <w:uiPriority w:val="32"/>
    <w:qFormat/>
    <w:rsid w:val="002D1BA2"/>
    <w:rPr>
      <w:b/>
      <w:bCs/>
      <w:smallCaps/>
      <w:color w:val="0F4761" w:themeColor="accent1" w:themeShade="BF"/>
      <w:spacing w:val="5"/>
    </w:rPr>
  </w:style>
  <w:style w:type="paragraph" w:styleId="En-tte">
    <w:name w:val="header"/>
    <w:basedOn w:val="Normal"/>
    <w:link w:val="En-tteCar"/>
    <w:uiPriority w:val="99"/>
    <w:unhideWhenUsed/>
    <w:rsid w:val="002D1BA2"/>
    <w:pPr>
      <w:tabs>
        <w:tab w:val="center" w:pos="4536"/>
        <w:tab w:val="right" w:pos="9072"/>
      </w:tabs>
      <w:spacing w:after="0" w:line="240" w:lineRule="auto"/>
    </w:pPr>
  </w:style>
  <w:style w:type="character" w:customStyle="1" w:styleId="En-tteCar">
    <w:name w:val="En-tête Car"/>
    <w:basedOn w:val="Policepardfaut"/>
    <w:link w:val="En-tte"/>
    <w:uiPriority w:val="99"/>
    <w:rsid w:val="002D1BA2"/>
  </w:style>
  <w:style w:type="paragraph" w:styleId="Pieddepage">
    <w:name w:val="footer"/>
    <w:basedOn w:val="Normal"/>
    <w:link w:val="PieddepageCar"/>
    <w:uiPriority w:val="99"/>
    <w:unhideWhenUsed/>
    <w:rsid w:val="002D1BA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D1B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750</Words>
  <Characters>4130</Characters>
  <Application>Microsoft Office Word</Application>
  <DocSecurity>0</DocSecurity>
  <Lines>34</Lines>
  <Paragraphs>9</Paragraphs>
  <ScaleCrop>false</ScaleCrop>
  <Company>GRAND PORT MARITIME DE MARSEILLE</Company>
  <LinksUpToDate>false</LinksUpToDate>
  <CharactersWithSpaces>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Caillibotte Sylvie</dc:creator>
  <cp:keywords/>
  <dc:description/>
  <cp:lastModifiedBy>Caillibotte Sylvie</cp:lastModifiedBy>
  <cp:revision>1</cp:revision>
  <dcterms:created xsi:type="dcterms:W3CDTF">2025-09-03T04:37:00Z</dcterms:created>
  <dcterms:modified xsi:type="dcterms:W3CDTF">2025-09-03T04:39:00Z</dcterms:modified>
</cp:coreProperties>
</file>