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C074D" w14:textId="71739A5F" w:rsidR="00BD434F" w:rsidRDefault="00343717">
      <w:r>
        <w:rPr>
          <w:noProof/>
        </w:rPr>
        <w:drawing>
          <wp:inline distT="0" distB="0" distL="0" distR="0" wp14:anchorId="7AF62B7D" wp14:editId="2709D8D9">
            <wp:extent cx="5760720" cy="1339215"/>
            <wp:effectExtent l="0" t="0" r="0" b="0"/>
            <wp:docPr id="1265971364" name="Image 1" descr="Une image contenant Police, text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71364" name="Image 1" descr="Une image contenant Police, texte, Graphique, logo&#10;&#10;Le contenu généré par l’IA peut être incorrect."/>
                    <pic:cNvPicPr/>
                  </pic:nvPicPr>
                  <pic:blipFill>
                    <a:blip r:embed="rId6"/>
                    <a:stretch>
                      <a:fillRect/>
                    </a:stretch>
                  </pic:blipFill>
                  <pic:spPr>
                    <a:xfrm>
                      <a:off x="0" y="0"/>
                      <a:ext cx="5760720" cy="1339215"/>
                    </a:xfrm>
                    <a:prstGeom prst="rect">
                      <a:avLst/>
                    </a:prstGeom>
                  </pic:spPr>
                </pic:pic>
              </a:graphicData>
            </a:graphic>
          </wp:inline>
        </w:drawing>
      </w:r>
    </w:p>
    <w:p w14:paraId="4461B45D" w14:textId="455C58E5" w:rsidR="00343717" w:rsidRDefault="00343717">
      <w:r>
        <w:rPr>
          <w:noProof/>
        </w:rPr>
        <w:drawing>
          <wp:inline distT="0" distB="0" distL="0" distR="0" wp14:anchorId="02CB1FBD" wp14:editId="5E3B1B7A">
            <wp:extent cx="5760720" cy="2045335"/>
            <wp:effectExtent l="0" t="0" r="0" b="0"/>
            <wp:docPr id="759562120" name="Image 1" descr="Une image contenant text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62120" name="Image 1" descr="Une image contenant texte, Police, capture d’écran&#10;&#10;Le contenu généré par l’IA peut être incorrect."/>
                    <pic:cNvPicPr/>
                  </pic:nvPicPr>
                  <pic:blipFill>
                    <a:blip r:embed="rId7"/>
                    <a:stretch>
                      <a:fillRect/>
                    </a:stretch>
                  </pic:blipFill>
                  <pic:spPr>
                    <a:xfrm>
                      <a:off x="0" y="0"/>
                      <a:ext cx="5760720" cy="2045335"/>
                    </a:xfrm>
                    <a:prstGeom prst="rect">
                      <a:avLst/>
                    </a:prstGeom>
                  </pic:spPr>
                </pic:pic>
              </a:graphicData>
            </a:graphic>
          </wp:inline>
        </w:drawing>
      </w:r>
    </w:p>
    <w:p w14:paraId="546E95DB" w14:textId="77777777" w:rsidR="00343717" w:rsidRPr="00343717" w:rsidRDefault="00343717" w:rsidP="00343717">
      <w:pPr>
        <w:shd w:val="clear" w:color="auto" w:fill="FFFFFF"/>
        <w:spacing w:line="240" w:lineRule="auto"/>
        <w:rPr>
          <w:rFonts w:ascii="Source Sans Pro" w:eastAsia="Times New Roman" w:hAnsi="Source Sans Pro" w:cs="Times New Roman"/>
          <w:color w:val="212121"/>
          <w:kern w:val="0"/>
          <w:lang w:eastAsia="fr-FR"/>
          <w14:ligatures w14:val="none"/>
        </w:rPr>
      </w:pPr>
      <w:r w:rsidRPr="00343717">
        <w:rPr>
          <w:rFonts w:ascii="Source Sans Pro" w:eastAsia="Times New Roman" w:hAnsi="Source Sans Pro" w:cs="Times New Roman"/>
          <w:color w:val="212121"/>
          <w:kern w:val="0"/>
          <w:lang w:eastAsia="fr-FR"/>
          <w14:ligatures w14:val="none"/>
        </w:rPr>
        <w:t xml:space="preserve">Publié le 16 mai 2025 à </w:t>
      </w:r>
      <w:proofErr w:type="gramStart"/>
      <w:r w:rsidRPr="00343717">
        <w:rPr>
          <w:rFonts w:ascii="Source Sans Pro" w:eastAsia="Times New Roman" w:hAnsi="Source Sans Pro" w:cs="Times New Roman"/>
          <w:color w:val="212121"/>
          <w:kern w:val="0"/>
          <w:lang w:eastAsia="fr-FR"/>
          <w14:ligatures w14:val="none"/>
        </w:rPr>
        <w:t>06:</w:t>
      </w:r>
      <w:proofErr w:type="gramEnd"/>
      <w:r w:rsidRPr="00343717">
        <w:rPr>
          <w:rFonts w:ascii="Source Sans Pro" w:eastAsia="Times New Roman" w:hAnsi="Source Sans Pro" w:cs="Times New Roman"/>
          <w:color w:val="212121"/>
          <w:kern w:val="0"/>
          <w:lang w:eastAsia="fr-FR"/>
          <w14:ligatures w14:val="none"/>
        </w:rPr>
        <w:t>35</w:t>
      </w:r>
    </w:p>
    <w:p w14:paraId="3177E02E" w14:textId="77777777" w:rsidR="00343717" w:rsidRPr="00343717" w:rsidRDefault="00343717" w:rsidP="00343717">
      <w:pPr>
        <w:shd w:val="clear" w:color="auto" w:fill="FFFFFF"/>
        <w:spacing w:after="0" w:line="240" w:lineRule="auto"/>
        <w:jc w:val="both"/>
        <w:rPr>
          <w:rFonts w:ascii="Source Sans Pro" w:eastAsia="Times New Roman" w:hAnsi="Source Sans Pro" w:cs="Times New Roman"/>
          <w:color w:val="212121"/>
          <w:kern w:val="0"/>
          <w:lang w:eastAsia="fr-FR"/>
          <w14:ligatures w14:val="none"/>
        </w:rPr>
      </w:pPr>
      <w:r w:rsidRPr="00343717">
        <w:rPr>
          <w:rFonts w:ascii="Source Sans Pro" w:eastAsia="Times New Roman" w:hAnsi="Source Sans Pro" w:cs="Times New Roman"/>
          <w:color w:val="212121"/>
          <w:kern w:val="0"/>
          <w:lang w:eastAsia="fr-FR"/>
          <w14:ligatures w14:val="none"/>
        </w:rPr>
        <w:t>La prudence règne. 41 % des entreprises et organisations interrogées abordent la généralisation de la </w:t>
      </w:r>
      <w:hyperlink r:id="rId8" w:history="1">
        <w:r w:rsidRPr="00343717">
          <w:rPr>
            <w:rFonts w:ascii="Source Sans Pro" w:eastAsia="Times New Roman" w:hAnsi="Source Sans Pro" w:cs="Times New Roman"/>
            <w:color w:val="00A59E"/>
            <w:kern w:val="0"/>
            <w:u w:val="single"/>
            <w:lang w:eastAsia="fr-FR"/>
            <w14:ligatures w14:val="none"/>
          </w:rPr>
          <w:t>facture électronique</w:t>
        </w:r>
      </w:hyperlink>
      <w:r w:rsidRPr="00343717">
        <w:rPr>
          <w:rFonts w:ascii="Source Sans Pro" w:eastAsia="Times New Roman" w:hAnsi="Source Sans Pro" w:cs="Times New Roman"/>
          <w:color w:val="212121"/>
          <w:kern w:val="0"/>
          <w:lang w:eastAsia="fr-FR"/>
          <w14:ligatures w14:val="none"/>
        </w:rPr>
        <w:t xml:space="preserve"> avec inquiétude et avouent ne pas encore être prêtes, selon une l'enquête Ipsos, Sopra Steria Next et </w:t>
      </w:r>
      <w:proofErr w:type="spellStart"/>
      <w:r w:rsidRPr="00343717">
        <w:rPr>
          <w:rFonts w:ascii="Source Sans Pro" w:eastAsia="Times New Roman" w:hAnsi="Source Sans Pro" w:cs="Times New Roman"/>
          <w:color w:val="212121"/>
          <w:kern w:val="0"/>
          <w:lang w:eastAsia="fr-FR"/>
          <w14:ligatures w14:val="none"/>
        </w:rPr>
        <w:t>Kolecto</w:t>
      </w:r>
      <w:proofErr w:type="spellEnd"/>
      <w:r w:rsidRPr="00343717">
        <w:rPr>
          <w:rFonts w:ascii="Source Sans Pro" w:eastAsia="Times New Roman" w:hAnsi="Source Sans Pro" w:cs="Times New Roman"/>
          <w:color w:val="212121"/>
          <w:kern w:val="0"/>
          <w:lang w:eastAsia="fr-FR"/>
          <w14:ligatures w14:val="none"/>
        </w:rPr>
        <w:t xml:space="preserve"> menée à l'été 2024. Le premier des défis consiste donc à embarquer les entreprises, en particulier celles de taille intermédiaire.</w:t>
      </w:r>
    </w:p>
    <w:p w14:paraId="5EE01495" w14:textId="77777777" w:rsidR="00343717" w:rsidRPr="00343717" w:rsidRDefault="00343717" w:rsidP="00343717">
      <w:pPr>
        <w:shd w:val="clear" w:color="auto" w:fill="FFFFFF"/>
        <w:spacing w:before="300" w:after="0" w:line="240" w:lineRule="auto"/>
        <w:jc w:val="both"/>
        <w:rPr>
          <w:rFonts w:ascii="Source Sans Pro" w:eastAsia="Times New Roman" w:hAnsi="Source Sans Pro" w:cs="Times New Roman"/>
          <w:color w:val="212121"/>
          <w:kern w:val="0"/>
          <w:lang w:eastAsia="fr-FR"/>
          <w14:ligatures w14:val="none"/>
        </w:rPr>
      </w:pPr>
      <w:r w:rsidRPr="00343717">
        <w:rPr>
          <w:rFonts w:ascii="Source Sans Pro" w:eastAsia="Times New Roman" w:hAnsi="Source Sans Pro" w:cs="Times New Roman"/>
          <w:color w:val="212121"/>
          <w:kern w:val="0"/>
          <w:lang w:eastAsia="fr-FR"/>
          <w14:ligatures w14:val="none"/>
        </w:rPr>
        <w:t>« La procédure reste complexe pour les ETI, qui ont de gros volumes de factures. De nombreux dirigeants ont cru à tort que c'était seulement une réforme informatique, et n'ont pas pris conscience de l'importance du travail d'audit des flux qui doit être mené en amont », constate Rémi Gouyet, avocat spécialiste de la dématérialisation fiscale et fondateur du cabinet E-</w:t>
      </w:r>
      <w:proofErr w:type="spellStart"/>
      <w:r w:rsidRPr="00343717">
        <w:rPr>
          <w:rFonts w:ascii="Source Sans Pro" w:eastAsia="Times New Roman" w:hAnsi="Source Sans Pro" w:cs="Times New Roman"/>
          <w:color w:val="212121"/>
          <w:kern w:val="0"/>
          <w:lang w:eastAsia="fr-FR"/>
          <w14:ligatures w14:val="none"/>
        </w:rPr>
        <w:t>Tax</w:t>
      </w:r>
      <w:proofErr w:type="spellEnd"/>
      <w:r w:rsidRPr="00343717">
        <w:rPr>
          <w:rFonts w:ascii="Source Sans Pro" w:eastAsia="Times New Roman" w:hAnsi="Source Sans Pro" w:cs="Times New Roman"/>
          <w:color w:val="212121"/>
          <w:kern w:val="0"/>
          <w:lang w:eastAsia="fr-FR"/>
          <w14:ligatures w14:val="none"/>
        </w:rPr>
        <w:t xml:space="preserve"> Paris.</w:t>
      </w:r>
    </w:p>
    <w:p w14:paraId="55828A18" w14:textId="77777777" w:rsidR="00343717" w:rsidRPr="00343717" w:rsidRDefault="00343717" w:rsidP="00343717">
      <w:pPr>
        <w:shd w:val="clear" w:color="auto" w:fill="FFFFFF"/>
        <w:spacing w:before="300" w:after="0" w:line="240" w:lineRule="auto"/>
        <w:jc w:val="both"/>
        <w:rPr>
          <w:rFonts w:ascii="Source Sans Pro" w:eastAsia="Times New Roman" w:hAnsi="Source Sans Pro" w:cs="Times New Roman"/>
          <w:color w:val="212121"/>
          <w:kern w:val="0"/>
          <w:lang w:eastAsia="fr-FR"/>
          <w14:ligatures w14:val="none"/>
        </w:rPr>
      </w:pPr>
      <w:r w:rsidRPr="00343717">
        <w:rPr>
          <w:rFonts w:ascii="Source Sans Pro" w:eastAsia="Times New Roman" w:hAnsi="Source Sans Pro" w:cs="Times New Roman"/>
          <w:color w:val="212121"/>
          <w:kern w:val="0"/>
          <w:lang w:eastAsia="fr-FR"/>
          <w14:ligatures w14:val="none"/>
        </w:rPr>
        <w:t xml:space="preserve">L'enjeu s'articule surtout autour de la qualité de la donnée et de la capacité des systèmes informatiques à gérer ces flux. « Nous sommes à 500 jours de la réforme pour l'envoi et la réception des factures. Un travail titanesque nous attend. Il faut que la qualité des données soit irréprochable, avoir les numéros de TVA à jour, les bons </w:t>
      </w:r>
      <w:proofErr w:type="spellStart"/>
      <w:r w:rsidRPr="00343717">
        <w:rPr>
          <w:rFonts w:ascii="Source Sans Pro" w:eastAsia="Times New Roman" w:hAnsi="Source Sans Pro" w:cs="Times New Roman"/>
          <w:color w:val="212121"/>
          <w:kern w:val="0"/>
          <w:lang w:eastAsia="fr-FR"/>
          <w14:ligatures w14:val="none"/>
        </w:rPr>
        <w:t>Siren</w:t>
      </w:r>
      <w:proofErr w:type="spellEnd"/>
      <w:r w:rsidRPr="00343717">
        <w:rPr>
          <w:rFonts w:ascii="Source Sans Pro" w:eastAsia="Times New Roman" w:hAnsi="Source Sans Pro" w:cs="Times New Roman"/>
          <w:color w:val="212121"/>
          <w:kern w:val="0"/>
          <w:lang w:eastAsia="fr-FR"/>
          <w14:ligatures w14:val="none"/>
        </w:rPr>
        <w:t xml:space="preserve"> et Siret de l'établissement afin d'éviter un rejet de la facture et donc une perte de temps et d'efficacité », rapporte Guillaume </w:t>
      </w:r>
      <w:proofErr w:type="spellStart"/>
      <w:r w:rsidRPr="00343717">
        <w:rPr>
          <w:rFonts w:ascii="Source Sans Pro" w:eastAsia="Times New Roman" w:hAnsi="Source Sans Pro" w:cs="Times New Roman"/>
          <w:color w:val="212121"/>
          <w:kern w:val="0"/>
          <w:lang w:eastAsia="fr-FR"/>
          <w14:ligatures w14:val="none"/>
        </w:rPr>
        <w:t>Siccat</w:t>
      </w:r>
      <w:proofErr w:type="spellEnd"/>
      <w:r w:rsidRPr="00343717">
        <w:rPr>
          <w:rFonts w:ascii="Source Sans Pro" w:eastAsia="Times New Roman" w:hAnsi="Source Sans Pro" w:cs="Times New Roman"/>
          <w:color w:val="212121"/>
          <w:kern w:val="0"/>
          <w:lang w:eastAsia="fr-FR"/>
          <w14:ligatures w14:val="none"/>
        </w:rPr>
        <w:t>, membre du groupe Transformation de l'Association des directeurs financiers et contrôleurs de gestion (DFCG).</w:t>
      </w:r>
    </w:p>
    <w:p w14:paraId="0BF89F20" w14:textId="77777777" w:rsidR="00343717" w:rsidRPr="00343717" w:rsidRDefault="00343717" w:rsidP="00343717">
      <w:pPr>
        <w:shd w:val="clear" w:color="auto" w:fill="FFFFFF"/>
        <w:spacing w:before="300" w:after="0" w:line="240" w:lineRule="auto"/>
        <w:jc w:val="both"/>
        <w:rPr>
          <w:rFonts w:ascii="Source Sans Pro" w:eastAsia="Times New Roman" w:hAnsi="Source Sans Pro" w:cs="Times New Roman"/>
          <w:color w:val="212121"/>
          <w:kern w:val="0"/>
          <w:lang w:eastAsia="fr-FR"/>
          <w14:ligatures w14:val="none"/>
        </w:rPr>
      </w:pPr>
      <w:r w:rsidRPr="00343717">
        <w:rPr>
          <w:rFonts w:ascii="Source Sans Pro" w:eastAsia="Times New Roman" w:hAnsi="Source Sans Pro" w:cs="Times New Roman"/>
          <w:color w:val="212121"/>
          <w:kern w:val="0"/>
          <w:lang w:eastAsia="fr-FR"/>
          <w14:ligatures w14:val="none"/>
        </w:rPr>
        <w:t>Tout un process que les entreprises doivent s'appliquer à anticiper. « </w:t>
      </w:r>
      <w:hyperlink r:id="rId9" w:history="1">
        <w:r w:rsidRPr="00343717">
          <w:rPr>
            <w:rFonts w:ascii="Source Sans Pro" w:eastAsia="Times New Roman" w:hAnsi="Source Sans Pro" w:cs="Times New Roman"/>
            <w:color w:val="00A59E"/>
            <w:kern w:val="0"/>
            <w:u w:val="single"/>
            <w:lang w:eastAsia="fr-FR"/>
            <w14:ligatures w14:val="none"/>
          </w:rPr>
          <w:t>Les données de facturation</w:t>
        </w:r>
      </w:hyperlink>
      <w:r w:rsidRPr="00343717">
        <w:rPr>
          <w:rFonts w:ascii="Source Sans Pro" w:eastAsia="Times New Roman" w:hAnsi="Source Sans Pro" w:cs="Times New Roman"/>
          <w:color w:val="212121"/>
          <w:kern w:val="0"/>
          <w:lang w:eastAsia="fr-FR"/>
          <w14:ligatures w14:val="none"/>
        </w:rPr>
        <w:t> doivent être dès maintenant à jour dans les systèmes d'information, prévient Rémi Gouyet. Les PDP ne vont pas faire le job de normalisation. Il incombe aux entreprises, en amont de la réforme. Ces plateformes doivent peu ou prou récupérer une situation saine. »</w:t>
      </w:r>
    </w:p>
    <w:p w14:paraId="149A6BDB" w14:textId="77777777" w:rsidR="00343717" w:rsidRPr="00343717" w:rsidRDefault="00343717" w:rsidP="00343717">
      <w:pPr>
        <w:shd w:val="clear" w:color="auto" w:fill="FFFFFF"/>
        <w:spacing w:before="600" w:after="0" w:line="240" w:lineRule="auto"/>
        <w:jc w:val="both"/>
        <w:outlineLvl w:val="2"/>
        <w:rPr>
          <w:rFonts w:ascii="Source Sans Pro" w:eastAsia="Times New Roman" w:hAnsi="Source Sans Pro" w:cs="Times New Roman"/>
          <w:b/>
          <w:bCs/>
          <w:color w:val="212121"/>
          <w:kern w:val="0"/>
          <w:sz w:val="27"/>
          <w:szCs w:val="27"/>
          <w:lang w:eastAsia="fr-FR"/>
          <w14:ligatures w14:val="none"/>
        </w:rPr>
      </w:pPr>
      <w:r w:rsidRPr="00343717">
        <w:rPr>
          <w:rFonts w:ascii="Source Sans Pro" w:eastAsia="Times New Roman" w:hAnsi="Source Sans Pro" w:cs="Times New Roman"/>
          <w:b/>
          <w:bCs/>
          <w:color w:val="212121"/>
          <w:kern w:val="0"/>
          <w:sz w:val="27"/>
          <w:szCs w:val="27"/>
          <w:lang w:eastAsia="fr-FR"/>
          <w14:ligatures w14:val="none"/>
        </w:rPr>
        <w:lastRenderedPageBreak/>
        <w:t>Ventes internationales et notes de frais</w:t>
      </w:r>
    </w:p>
    <w:p w14:paraId="03286589" w14:textId="77777777" w:rsidR="00343717" w:rsidRPr="00343717" w:rsidRDefault="00343717" w:rsidP="00343717">
      <w:pPr>
        <w:shd w:val="clear" w:color="auto" w:fill="FFFFFF"/>
        <w:spacing w:before="300" w:after="0" w:line="240" w:lineRule="auto"/>
        <w:jc w:val="both"/>
        <w:rPr>
          <w:rFonts w:ascii="Source Sans Pro" w:eastAsia="Times New Roman" w:hAnsi="Source Sans Pro" w:cs="Times New Roman"/>
          <w:color w:val="212121"/>
          <w:kern w:val="0"/>
          <w:sz w:val="29"/>
          <w:szCs w:val="29"/>
          <w:lang w:eastAsia="fr-FR"/>
          <w14:ligatures w14:val="none"/>
        </w:rPr>
      </w:pPr>
      <w:r w:rsidRPr="00343717">
        <w:rPr>
          <w:rFonts w:ascii="Source Sans Pro" w:eastAsia="Times New Roman" w:hAnsi="Source Sans Pro" w:cs="Times New Roman"/>
          <w:color w:val="212121"/>
          <w:kern w:val="0"/>
          <w:sz w:val="29"/>
          <w:szCs w:val="29"/>
          <w:lang w:eastAsia="fr-FR"/>
          <w14:ligatures w14:val="none"/>
        </w:rPr>
        <w:t>Cette généralisation de la réforme doit permettre à l'administration fiscale de préremplir les déclarations de TVA des entreprises. C'est un autre des défis majeurs. Si l'émission et la transmission des factures par voie électronique semblent abouties, un certain flou subsiste sur l'e-</w:t>
      </w:r>
      <w:proofErr w:type="spellStart"/>
      <w:r w:rsidRPr="00343717">
        <w:rPr>
          <w:rFonts w:ascii="Source Sans Pro" w:eastAsia="Times New Roman" w:hAnsi="Source Sans Pro" w:cs="Times New Roman"/>
          <w:color w:val="212121"/>
          <w:kern w:val="0"/>
          <w:sz w:val="29"/>
          <w:szCs w:val="29"/>
          <w:lang w:eastAsia="fr-FR"/>
          <w14:ligatures w14:val="none"/>
        </w:rPr>
        <w:t>reporting</w:t>
      </w:r>
      <w:proofErr w:type="spellEnd"/>
      <w:r w:rsidRPr="00343717">
        <w:rPr>
          <w:rFonts w:ascii="Source Sans Pro" w:eastAsia="Times New Roman" w:hAnsi="Source Sans Pro" w:cs="Times New Roman"/>
          <w:color w:val="212121"/>
          <w:kern w:val="0"/>
          <w:sz w:val="29"/>
          <w:szCs w:val="29"/>
          <w:lang w:eastAsia="fr-FR"/>
          <w14:ligatures w14:val="none"/>
        </w:rPr>
        <w:t>, c'est-à-dire </w:t>
      </w:r>
      <w:hyperlink r:id="rId10" w:history="1">
        <w:r w:rsidRPr="00343717">
          <w:rPr>
            <w:rFonts w:ascii="Source Sans Pro" w:eastAsia="Times New Roman" w:hAnsi="Source Sans Pro" w:cs="Times New Roman"/>
            <w:color w:val="00A59E"/>
            <w:kern w:val="0"/>
            <w:sz w:val="29"/>
            <w:szCs w:val="29"/>
            <w:u w:val="single"/>
            <w:lang w:eastAsia="fr-FR"/>
            <w14:ligatures w14:val="none"/>
          </w:rPr>
          <w:t>la transmission des informations à l'administration fiscale</w:t>
        </w:r>
      </w:hyperlink>
      <w:r w:rsidRPr="00343717">
        <w:rPr>
          <w:rFonts w:ascii="Source Sans Pro" w:eastAsia="Times New Roman" w:hAnsi="Source Sans Pro" w:cs="Times New Roman"/>
          <w:color w:val="212121"/>
          <w:kern w:val="0"/>
          <w:sz w:val="29"/>
          <w:szCs w:val="29"/>
          <w:lang w:eastAsia="fr-FR"/>
          <w14:ligatures w14:val="none"/>
        </w:rPr>
        <w:t> . « Certaines règles sectorielles liées au e-</w:t>
      </w:r>
      <w:proofErr w:type="spellStart"/>
      <w:r w:rsidRPr="00343717">
        <w:rPr>
          <w:rFonts w:ascii="Source Sans Pro" w:eastAsia="Times New Roman" w:hAnsi="Source Sans Pro" w:cs="Times New Roman"/>
          <w:color w:val="212121"/>
          <w:kern w:val="0"/>
          <w:sz w:val="29"/>
          <w:szCs w:val="29"/>
          <w:lang w:eastAsia="fr-FR"/>
          <w14:ligatures w14:val="none"/>
        </w:rPr>
        <w:t>reporting</w:t>
      </w:r>
      <w:proofErr w:type="spellEnd"/>
      <w:r w:rsidRPr="00343717">
        <w:rPr>
          <w:rFonts w:ascii="Source Sans Pro" w:eastAsia="Times New Roman" w:hAnsi="Source Sans Pro" w:cs="Times New Roman"/>
          <w:color w:val="212121"/>
          <w:kern w:val="0"/>
          <w:sz w:val="29"/>
          <w:szCs w:val="29"/>
          <w:lang w:eastAsia="fr-FR"/>
          <w14:ligatures w14:val="none"/>
        </w:rPr>
        <w:t xml:space="preserve"> restent à préciser. Cela ne remet toutefois pas en cause le calendrier de mise en </w:t>
      </w:r>
      <w:proofErr w:type="spellStart"/>
      <w:r w:rsidRPr="00343717">
        <w:rPr>
          <w:rFonts w:ascii="Source Sans Pro" w:eastAsia="Times New Roman" w:hAnsi="Source Sans Pro" w:cs="Times New Roman"/>
          <w:color w:val="212121"/>
          <w:kern w:val="0"/>
          <w:sz w:val="29"/>
          <w:szCs w:val="29"/>
          <w:lang w:eastAsia="fr-FR"/>
          <w14:ligatures w14:val="none"/>
        </w:rPr>
        <w:t>oeuvre</w:t>
      </w:r>
      <w:proofErr w:type="spellEnd"/>
      <w:r w:rsidRPr="00343717">
        <w:rPr>
          <w:rFonts w:ascii="Source Sans Pro" w:eastAsia="Times New Roman" w:hAnsi="Source Sans Pro" w:cs="Times New Roman"/>
          <w:color w:val="212121"/>
          <w:kern w:val="0"/>
          <w:sz w:val="29"/>
          <w:szCs w:val="29"/>
          <w:lang w:eastAsia="fr-FR"/>
          <w14:ligatures w14:val="none"/>
        </w:rPr>
        <w:t xml:space="preserve"> de la réforme », précise, prudent, Damien Charrier, le président du Conseil national de l'ordre des experts-comptables.</w:t>
      </w:r>
    </w:p>
    <w:p w14:paraId="3FCBFC5B" w14:textId="77777777" w:rsidR="00343717" w:rsidRPr="00343717" w:rsidRDefault="00343717" w:rsidP="00343717">
      <w:pPr>
        <w:shd w:val="clear" w:color="auto" w:fill="FFFFFF"/>
        <w:spacing w:before="300" w:after="0" w:line="240" w:lineRule="auto"/>
        <w:jc w:val="both"/>
        <w:rPr>
          <w:rFonts w:ascii="Source Sans Pro" w:eastAsia="Times New Roman" w:hAnsi="Source Sans Pro" w:cs="Times New Roman"/>
          <w:color w:val="212121"/>
          <w:kern w:val="0"/>
          <w:sz w:val="29"/>
          <w:szCs w:val="29"/>
          <w:lang w:eastAsia="fr-FR"/>
          <w14:ligatures w14:val="none"/>
        </w:rPr>
      </w:pPr>
      <w:r w:rsidRPr="00343717">
        <w:rPr>
          <w:rFonts w:ascii="Source Sans Pro" w:eastAsia="Times New Roman" w:hAnsi="Source Sans Pro" w:cs="Times New Roman"/>
          <w:color w:val="212121"/>
          <w:kern w:val="0"/>
          <w:sz w:val="29"/>
          <w:szCs w:val="29"/>
          <w:lang w:eastAsia="fr-FR"/>
          <w14:ligatures w14:val="none"/>
        </w:rPr>
        <w:t>Autre complexité : l'application des taux de TVA. « Les clients concernés par du multi-taux peuvent parfois ne pas collecter le bon taux de TVA ou mélanger les différents taux », souligne l'avocat Rémi Gouyet. Ce peut être une source d'erreurs. De même, pour les opérations internationales nécessitant l'apposition sur la facture de l'article du Code général des impôts qui prévoit l'exonération de TVA, de nombreux clients n'appliquent pas la bonne disposition du CGI.</w:t>
      </w:r>
    </w:p>
    <w:p w14:paraId="726510F2" w14:textId="77777777" w:rsidR="00343717" w:rsidRDefault="00343717" w:rsidP="00343717">
      <w:pPr>
        <w:pStyle w:val="NormalWeb"/>
        <w:shd w:val="clear" w:color="auto" w:fill="FFFFFF"/>
        <w:spacing w:before="600" w:beforeAutospacing="0" w:after="0" w:afterAutospacing="0"/>
        <w:jc w:val="both"/>
        <w:rPr>
          <w:rFonts w:ascii="Source Sans Pro" w:hAnsi="Source Sans Pro"/>
          <w:color w:val="212121"/>
          <w:sz w:val="29"/>
          <w:szCs w:val="29"/>
        </w:rPr>
      </w:pPr>
      <w:r>
        <w:rPr>
          <w:rFonts w:ascii="Source Sans Pro" w:hAnsi="Source Sans Pro"/>
          <w:color w:val="212121"/>
          <w:sz w:val="29"/>
          <w:szCs w:val="29"/>
        </w:rPr>
        <w:t>Enfin, certains cas d'usage soulèvent des difficultés et correspondent à des situations de facturation dérogatoires qui nécessitent, afin d'être identifiées et portées à la connaissance des PDP, une parfaite compréhension de leur réalité opérationnelle. « De nombreux clients ne disposent pas nécessairement de cette compétence technique. L'exemple des notes de frais est assez révélateur de cette complexité », concède l'avocat.</w:t>
      </w:r>
    </w:p>
    <w:p w14:paraId="2A4817F0" w14:textId="77777777" w:rsidR="00343717" w:rsidRDefault="00343717" w:rsidP="00343717">
      <w:pPr>
        <w:pStyle w:val="NormalWeb"/>
        <w:shd w:val="clear" w:color="auto" w:fill="FFFFFF"/>
        <w:spacing w:before="300" w:beforeAutospacing="0" w:after="0" w:afterAutospacing="0"/>
        <w:jc w:val="both"/>
        <w:rPr>
          <w:rFonts w:ascii="Source Sans Pro" w:hAnsi="Source Sans Pro"/>
          <w:color w:val="212121"/>
          <w:sz w:val="29"/>
          <w:szCs w:val="29"/>
        </w:rPr>
      </w:pPr>
      <w:r>
        <w:rPr>
          <w:rFonts w:ascii="Source Sans Pro" w:hAnsi="Source Sans Pro"/>
          <w:color w:val="212121"/>
          <w:sz w:val="29"/>
          <w:szCs w:val="29"/>
        </w:rPr>
        <w:t>Selon que son montant excède ou non 150 euros, une note de restaurant ou de carburant établie au nom de l'entreprise devra être émise par l'entreprise selon le schéma de la facture électronique, avec </w:t>
      </w:r>
      <w:hyperlink r:id="rId11" w:history="1">
        <w:r>
          <w:rPr>
            <w:rStyle w:val="Lienhypertexte"/>
            <w:rFonts w:ascii="Source Sans Pro" w:eastAsiaTheme="majorEastAsia" w:hAnsi="Source Sans Pro"/>
            <w:color w:val="00A59E"/>
            <w:sz w:val="29"/>
            <w:szCs w:val="29"/>
          </w:rPr>
          <w:t>les mentions obligatoires en vigueur</w:t>
        </w:r>
      </w:hyperlink>
      <w:r>
        <w:rPr>
          <w:rFonts w:ascii="Source Sans Pro" w:hAnsi="Source Sans Pro"/>
          <w:color w:val="212121"/>
          <w:sz w:val="29"/>
          <w:szCs w:val="29"/>
        </w:rPr>
        <w:t> . Si, en revanche, la note est établie au nom du salarié - il s'agit donc d'une opération avec un non-assujetti à la TVA, à savoir le collaborateur - l'émission d'une facture électronique n'est pas requise. Les données de la transaction doivent tout de même être transmises à l'administration.</w:t>
      </w:r>
    </w:p>
    <w:p w14:paraId="5DCD49A0" w14:textId="77777777" w:rsidR="00343717" w:rsidRDefault="00343717" w:rsidP="00343717">
      <w:pPr>
        <w:jc w:val="both"/>
      </w:pPr>
    </w:p>
    <w:sectPr w:rsidR="0034371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49616" w14:textId="77777777" w:rsidR="00E73EB2" w:rsidRDefault="00E73EB2" w:rsidP="00E73EB2">
      <w:pPr>
        <w:spacing w:after="0" w:line="240" w:lineRule="auto"/>
      </w:pPr>
      <w:r>
        <w:separator/>
      </w:r>
    </w:p>
  </w:endnote>
  <w:endnote w:type="continuationSeparator" w:id="0">
    <w:p w14:paraId="220FBEEA" w14:textId="77777777" w:rsidR="00E73EB2" w:rsidRDefault="00E73EB2" w:rsidP="00E7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D679" w14:textId="77777777" w:rsidR="00E73EB2" w:rsidRDefault="00E73EB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FE67" w14:textId="00B0DB0F" w:rsidR="00E73EB2" w:rsidRPr="00E73EB2" w:rsidRDefault="00E73EB2">
    <w:pPr>
      <w:pStyle w:val="Pieddepage"/>
      <w:rPr>
        <w:i/>
        <w:iCs/>
        <w:color w:val="A6A6A6" w:themeColor="background1" w:themeShade="A6"/>
      </w:rPr>
    </w:pPr>
    <w:r w:rsidRPr="00E73EB2">
      <w:rPr>
        <w:i/>
        <w:iCs/>
        <w:color w:val="A6A6A6" w:themeColor="background1" w:themeShade="A6"/>
      </w:rPr>
      <w:t xml:space="preserve">Article les ECHOS juin 2025 </w:t>
    </w:r>
    <w:r w:rsidRPr="00E73EB2">
      <w:rPr>
        <w:i/>
        <w:iCs/>
        <w:color w:val="A6A6A6" w:themeColor="background1" w:themeShade="A6"/>
      </w:rPr>
      <w:tab/>
      <w:t xml:space="preserve">                                                   Site AAC-Maj été2025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D17C9" w14:textId="77777777" w:rsidR="00E73EB2" w:rsidRDefault="00E73E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9F6A" w14:textId="77777777" w:rsidR="00E73EB2" w:rsidRDefault="00E73EB2" w:rsidP="00E73EB2">
      <w:pPr>
        <w:spacing w:after="0" w:line="240" w:lineRule="auto"/>
      </w:pPr>
      <w:r>
        <w:separator/>
      </w:r>
    </w:p>
  </w:footnote>
  <w:footnote w:type="continuationSeparator" w:id="0">
    <w:p w14:paraId="211564C8" w14:textId="77777777" w:rsidR="00E73EB2" w:rsidRDefault="00E73EB2" w:rsidP="00E73E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1AA0" w14:textId="77777777" w:rsidR="00E73EB2" w:rsidRDefault="00E73EB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3620" w14:textId="77777777" w:rsidR="00E73EB2" w:rsidRDefault="00E73EB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A25F4" w14:textId="77777777" w:rsidR="00E73EB2" w:rsidRDefault="00E73EB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717"/>
    <w:rsid w:val="00306E20"/>
    <w:rsid w:val="00343717"/>
    <w:rsid w:val="00517357"/>
    <w:rsid w:val="00AF7E60"/>
    <w:rsid w:val="00BD434F"/>
    <w:rsid w:val="00E73EB2"/>
    <w:rsid w:val="00FF7B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CBFDF"/>
  <w15:chartTrackingRefBased/>
  <w15:docId w15:val="{2D0E30C7-48CC-4875-836E-66BC23A27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437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437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4371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4371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4371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4371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4371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4371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4371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71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4371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4371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4371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4371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4371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4371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4371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43717"/>
    <w:rPr>
      <w:rFonts w:eastAsiaTheme="majorEastAsia" w:cstheme="majorBidi"/>
      <w:color w:val="272727" w:themeColor="text1" w:themeTint="D8"/>
    </w:rPr>
  </w:style>
  <w:style w:type="paragraph" w:styleId="Titre">
    <w:name w:val="Title"/>
    <w:basedOn w:val="Normal"/>
    <w:next w:val="Normal"/>
    <w:link w:val="TitreCar"/>
    <w:uiPriority w:val="10"/>
    <w:qFormat/>
    <w:rsid w:val="00343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4371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4371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4371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43717"/>
    <w:pPr>
      <w:spacing w:before="160"/>
      <w:jc w:val="center"/>
    </w:pPr>
    <w:rPr>
      <w:i/>
      <w:iCs/>
      <w:color w:val="404040" w:themeColor="text1" w:themeTint="BF"/>
    </w:rPr>
  </w:style>
  <w:style w:type="character" w:customStyle="1" w:styleId="CitationCar">
    <w:name w:val="Citation Car"/>
    <w:basedOn w:val="Policepardfaut"/>
    <w:link w:val="Citation"/>
    <w:uiPriority w:val="29"/>
    <w:rsid w:val="00343717"/>
    <w:rPr>
      <w:i/>
      <w:iCs/>
      <w:color w:val="404040" w:themeColor="text1" w:themeTint="BF"/>
    </w:rPr>
  </w:style>
  <w:style w:type="paragraph" w:styleId="Paragraphedeliste">
    <w:name w:val="List Paragraph"/>
    <w:basedOn w:val="Normal"/>
    <w:uiPriority w:val="34"/>
    <w:qFormat/>
    <w:rsid w:val="00343717"/>
    <w:pPr>
      <w:ind w:left="720"/>
      <w:contextualSpacing/>
    </w:pPr>
  </w:style>
  <w:style w:type="character" w:styleId="Accentuationintense">
    <w:name w:val="Intense Emphasis"/>
    <w:basedOn w:val="Policepardfaut"/>
    <w:uiPriority w:val="21"/>
    <w:qFormat/>
    <w:rsid w:val="00343717"/>
    <w:rPr>
      <w:i/>
      <w:iCs/>
      <w:color w:val="0F4761" w:themeColor="accent1" w:themeShade="BF"/>
    </w:rPr>
  </w:style>
  <w:style w:type="paragraph" w:styleId="Citationintense">
    <w:name w:val="Intense Quote"/>
    <w:basedOn w:val="Normal"/>
    <w:next w:val="Normal"/>
    <w:link w:val="CitationintenseCar"/>
    <w:uiPriority w:val="30"/>
    <w:qFormat/>
    <w:rsid w:val="003437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43717"/>
    <w:rPr>
      <w:i/>
      <w:iCs/>
      <w:color w:val="0F4761" w:themeColor="accent1" w:themeShade="BF"/>
    </w:rPr>
  </w:style>
  <w:style w:type="character" w:styleId="Rfrenceintense">
    <w:name w:val="Intense Reference"/>
    <w:basedOn w:val="Policepardfaut"/>
    <w:uiPriority w:val="32"/>
    <w:qFormat/>
    <w:rsid w:val="00343717"/>
    <w:rPr>
      <w:b/>
      <w:bCs/>
      <w:smallCaps/>
      <w:color w:val="0F4761" w:themeColor="accent1" w:themeShade="BF"/>
      <w:spacing w:val="5"/>
    </w:rPr>
  </w:style>
  <w:style w:type="paragraph" w:styleId="NormalWeb">
    <w:name w:val="Normal (Web)"/>
    <w:basedOn w:val="Normal"/>
    <w:uiPriority w:val="99"/>
    <w:semiHidden/>
    <w:unhideWhenUsed/>
    <w:rsid w:val="0034371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semiHidden/>
    <w:unhideWhenUsed/>
    <w:rsid w:val="00343717"/>
    <w:rPr>
      <w:color w:val="0000FF"/>
      <w:u w:val="single"/>
    </w:rPr>
  </w:style>
  <w:style w:type="paragraph" w:styleId="En-tte">
    <w:name w:val="header"/>
    <w:basedOn w:val="Normal"/>
    <w:link w:val="En-tteCar"/>
    <w:uiPriority w:val="99"/>
    <w:unhideWhenUsed/>
    <w:rsid w:val="00E73EB2"/>
    <w:pPr>
      <w:tabs>
        <w:tab w:val="center" w:pos="4536"/>
        <w:tab w:val="right" w:pos="9072"/>
      </w:tabs>
      <w:spacing w:after="0" w:line="240" w:lineRule="auto"/>
    </w:pPr>
  </w:style>
  <w:style w:type="character" w:customStyle="1" w:styleId="En-tteCar">
    <w:name w:val="En-tête Car"/>
    <w:basedOn w:val="Policepardfaut"/>
    <w:link w:val="En-tte"/>
    <w:uiPriority w:val="99"/>
    <w:rsid w:val="00E73EB2"/>
  </w:style>
  <w:style w:type="paragraph" w:styleId="Pieddepage">
    <w:name w:val="footer"/>
    <w:basedOn w:val="Normal"/>
    <w:link w:val="PieddepageCar"/>
    <w:uiPriority w:val="99"/>
    <w:unhideWhenUsed/>
    <w:rsid w:val="00E73E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73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69026">
      <w:bodyDiv w:val="1"/>
      <w:marLeft w:val="0"/>
      <w:marRight w:val="0"/>
      <w:marTop w:val="0"/>
      <w:marBottom w:val="0"/>
      <w:divBdr>
        <w:top w:val="none" w:sz="0" w:space="0" w:color="auto"/>
        <w:left w:val="none" w:sz="0" w:space="0" w:color="auto"/>
        <w:bottom w:val="none" w:sz="0" w:space="0" w:color="auto"/>
        <w:right w:val="none" w:sz="0" w:space="0" w:color="auto"/>
      </w:divBdr>
    </w:div>
    <w:div w:id="1412464239">
      <w:bodyDiv w:val="1"/>
      <w:marLeft w:val="0"/>
      <w:marRight w:val="0"/>
      <w:marTop w:val="0"/>
      <w:marBottom w:val="0"/>
      <w:divBdr>
        <w:top w:val="none" w:sz="0" w:space="0" w:color="auto"/>
        <w:left w:val="none" w:sz="0" w:space="0" w:color="auto"/>
        <w:bottom w:val="none" w:sz="0" w:space="0" w:color="auto"/>
        <w:right w:val="none" w:sz="0" w:space="0" w:color="auto"/>
      </w:divBdr>
      <w:divsChild>
        <w:div w:id="1701393643">
          <w:marLeft w:val="0"/>
          <w:marRight w:val="0"/>
          <w:marTop w:val="0"/>
          <w:marBottom w:val="375"/>
          <w:divBdr>
            <w:top w:val="none" w:sz="0" w:space="0" w:color="auto"/>
            <w:left w:val="none" w:sz="0" w:space="0" w:color="auto"/>
            <w:bottom w:val="none" w:sz="0" w:space="0" w:color="auto"/>
            <w:right w:val="none" w:sz="0" w:space="0" w:color="auto"/>
          </w:divBdr>
          <w:divsChild>
            <w:div w:id="354577101">
              <w:marLeft w:val="0"/>
              <w:marRight w:val="0"/>
              <w:marTop w:val="0"/>
              <w:marBottom w:val="0"/>
              <w:divBdr>
                <w:top w:val="none" w:sz="0" w:space="0" w:color="auto"/>
                <w:left w:val="none" w:sz="0" w:space="0" w:color="auto"/>
                <w:bottom w:val="none" w:sz="0" w:space="0" w:color="auto"/>
                <w:right w:val="none" w:sz="0" w:space="0" w:color="auto"/>
              </w:divBdr>
            </w:div>
          </w:divsChild>
        </w:div>
        <w:div w:id="1059788777">
          <w:marLeft w:val="0"/>
          <w:marRight w:val="0"/>
          <w:marTop w:val="0"/>
          <w:marBottom w:val="0"/>
          <w:divBdr>
            <w:top w:val="none" w:sz="0" w:space="0" w:color="auto"/>
            <w:left w:val="none" w:sz="0" w:space="0" w:color="auto"/>
            <w:bottom w:val="none" w:sz="0" w:space="0" w:color="auto"/>
            <w:right w:val="none" w:sz="0" w:space="0" w:color="auto"/>
          </w:divBdr>
        </w:div>
      </w:divsChild>
    </w:div>
    <w:div w:id="182400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trepreneurs.lesechos.fr/gestion-entreprise/finance/facturation-electronique-ne-pas-relacher-ses-efforts-2081108"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lesechos.fr/thema/articles/les-directions-financieres-font-de-plus-en-plus-appel-aux-fintechs-2150575"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entrepreneurs.lesechos.fr/gestion-entreprise/finance/la-facturation-electronique-reduira-t-elle-enfin-les-delais-de-paiement-2079270"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entrepreneurs.lesechos.fr/gestion-entreprise/finance/facturation-electronique-larchivage-en-quatre-questions-2037355"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3724</Characters>
  <Application>Microsoft Office Word</Application>
  <DocSecurity>0</DocSecurity>
  <Lines>31</Lines>
  <Paragraphs>8</Paragraphs>
  <ScaleCrop>false</ScaleCrop>
  <Company>GRAND PORT MARITIME DE MARSEILLE</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2</cp:revision>
  <cp:lastPrinted>2025-06-12T04:49:00Z</cp:lastPrinted>
  <dcterms:created xsi:type="dcterms:W3CDTF">2025-09-03T04:36:00Z</dcterms:created>
  <dcterms:modified xsi:type="dcterms:W3CDTF">2025-09-03T04:36:00Z</dcterms:modified>
</cp:coreProperties>
</file>