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CED95" w14:textId="44AEE73D" w:rsidR="00BD434F" w:rsidRPr="00D04FBA" w:rsidRDefault="00D04FBA" w:rsidP="00D04FBA">
      <w:pPr>
        <w:jc w:val="center"/>
        <w:rPr>
          <w:rFonts w:cs="Verdana"/>
          <w:b/>
          <w:bCs/>
          <w:color w:val="7030A0"/>
          <w:kern w:val="0"/>
          <w:sz w:val="28"/>
          <w:szCs w:val="28"/>
        </w:rPr>
      </w:pPr>
      <w:r w:rsidRPr="00D04FBA">
        <w:rPr>
          <w:rFonts w:cs="Verdana"/>
          <w:b/>
          <w:bCs/>
          <w:color w:val="7030A0"/>
          <w:kern w:val="0"/>
          <w:sz w:val="28"/>
          <w:szCs w:val="28"/>
        </w:rPr>
        <w:t>Comment comptabiliser les écarts de change et quels objets de gestion utiliser ?</w:t>
      </w:r>
      <w:r>
        <w:rPr>
          <w:rFonts w:cs="Verdana"/>
          <w:b/>
          <w:bCs/>
          <w:color w:val="7030A0"/>
          <w:kern w:val="0"/>
          <w:sz w:val="28"/>
          <w:szCs w:val="28"/>
        </w:rPr>
        <w:t xml:space="preserve"> (IJC 2022)</w:t>
      </w:r>
    </w:p>
    <w:p w14:paraId="5B5CDF70" w14:textId="77777777" w:rsidR="00D04FBA" w:rsidRDefault="00D04FBA">
      <w:pPr>
        <w:rPr>
          <w:rFonts w:ascii="Verdana" w:hAnsi="Verdana" w:cs="Verdana"/>
          <w:color w:val="00000A"/>
          <w:kern w:val="0"/>
          <w:sz w:val="20"/>
          <w:szCs w:val="20"/>
        </w:rPr>
      </w:pPr>
    </w:p>
    <w:p w14:paraId="565C8ED4" w14:textId="2F780D9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Les écarts de change réalisés dans le cadre de transactions commerciales ou de transactions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financières peuvent être comptabilisées lors de la mise en paiement ou à la remise à l'encaissement :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cela induit un ajustement de la comptabilité budgétaire (sur les enveloppes budgétaires de même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nature que la dépense concernée).</w:t>
      </w:r>
    </w:p>
    <w:p w14:paraId="5A115A4B" w14:textId="16776204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Ainsi, les pertes et les gains de change sont respectivement comptabilisées au compte 6586 et 7586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lors de la mise en paiement. En revanche, quand les écarts de change résultent d’opérations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financières de l’organisme ils sont comptabilisés au 666 (pertes) et 766 (gains) lors de la mise en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paiement.</w:t>
      </w:r>
    </w:p>
    <w:p w14:paraId="456CFAEC" w14:textId="267E659A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Les écarts de change peuvent également être constatés lors de la prise en charge de la demande de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paiement par le comptable pour mise à jour des comptabilités : cela induit un ajustement de la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comptabilité budgétaire (sur les enveloppes budgétaires de même nature que la dépense concernée)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et de la comptabilité générale (afin de comptabiliser une réduction de la créance ou de la dette en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contrepartie des comptes 476 - différence de conversion des opérations en devise - Actif et 477 -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différence de conversion des opérations en devise - Passif) ;</w:t>
      </w:r>
    </w:p>
    <w:p w14:paraId="2618FE08" w14:textId="77777777" w:rsid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A l'inventaire, les créances en devises restant à recouvrer et les dettes en devises restant à payer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sont converties et comptabilisées en euros sur la base du dernier cours de change. Des différences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de conversion apparaissent lors de l'application du taux de conversion entre la valeur comptable et la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valeur d'inventaire et sont inscrites à des comptes transitoires, en attente de régularisations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ultérieures.</w:t>
      </w:r>
    </w:p>
    <w:p w14:paraId="6EC8578C" w14:textId="08EC4C83" w:rsid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 xml:space="preserve">476x « Différences de conversion sur opération en devises - Actif » et </w:t>
      </w:r>
      <w:r>
        <w:rPr>
          <w:rFonts w:cs="Verdana"/>
          <w:color w:val="0F4761" w:themeColor="accent1" w:themeShade="BF"/>
          <w:kern w:val="0"/>
        </w:rPr>
        <w:br/>
      </w:r>
      <w:r w:rsidRPr="00D04FBA">
        <w:rPr>
          <w:rFonts w:cs="Verdana"/>
          <w:color w:val="0F4761" w:themeColor="accent1" w:themeShade="BF"/>
          <w:kern w:val="0"/>
        </w:rPr>
        <w:t>477x « Différences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de conversion sur opération en devises - Passif ».</w:t>
      </w:r>
    </w:p>
    <w:p w14:paraId="70CFFEF9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</w:p>
    <w:p w14:paraId="16D38102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,Bold"/>
          <w:b/>
          <w:bCs/>
          <w:color w:val="0F4761" w:themeColor="accent1" w:themeShade="BF"/>
          <w:kern w:val="0"/>
        </w:rPr>
        <w:t xml:space="preserve">I LES PERTES &amp; GAINS DE CHANGE EN DEPENSES </w:t>
      </w:r>
      <w:r w:rsidRPr="00D04FBA">
        <w:rPr>
          <w:rFonts w:cs="Verdana"/>
          <w:color w:val="0F4761" w:themeColor="accent1" w:themeShade="BF"/>
          <w:kern w:val="0"/>
        </w:rPr>
        <w:t>:</w:t>
      </w:r>
    </w:p>
    <w:p w14:paraId="4B08F9F9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,Italic"/>
          <w:i/>
          <w:iCs/>
          <w:color w:val="0F4761" w:themeColor="accent1" w:themeShade="BF"/>
          <w:kern w:val="0"/>
        </w:rPr>
        <w:t xml:space="preserve">1/ Traitement des écarts de change avant le paiement </w:t>
      </w:r>
      <w:r w:rsidRPr="00D04FBA">
        <w:rPr>
          <w:rFonts w:cs="Verdana"/>
          <w:color w:val="0F4761" w:themeColor="accent1" w:themeShade="BF"/>
          <w:kern w:val="0"/>
        </w:rPr>
        <w:t>:</w:t>
      </w:r>
    </w:p>
    <w:p w14:paraId="428474B7" w14:textId="30B3227F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Il est possible de gérer les écarts de change de deux façons en fonction des besoins et des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spécificités des organismes :</w:t>
      </w:r>
    </w:p>
    <w:p w14:paraId="6E7E7B7A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ils peuvent être constatés à chaque étape du flux d’exécution de la dépense (EJ, SF, DP)</w:t>
      </w:r>
    </w:p>
    <w:p w14:paraId="0553DFD9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Ou uniquement traités à la mise en paiement</w:t>
      </w:r>
    </w:p>
    <w:p w14:paraId="0C0E34B9" w14:textId="0A884788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La devise de tenue des comptabilités étant toujours l’euro, les montants exprimés en devises</w:t>
      </w:r>
      <w:r w:rsidRPr="00D04FBA"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étrangères doivent être convertis en euros en fonction du taux de change de chancellerie.</w:t>
      </w:r>
    </w:p>
    <w:p w14:paraId="3B5BDE57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</w:p>
    <w:p w14:paraId="2B8E0E44" w14:textId="6CA5641F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La conversion peut se faire et être comptabilisée à chaque étape du processus de la dépense :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engagement (EJ), certification du service fait (CSF) ou émission de la DP.</w:t>
      </w:r>
    </w:p>
    <w:p w14:paraId="5FE4684F" w14:textId="104B434C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Dans ces cas-là, les écarts de change induisent un ajustement de la comptabilité générale et de la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comptabilité budgétaire.</w:t>
      </w:r>
    </w:p>
    <w:p w14:paraId="2256C0C9" w14:textId="5DC93F2C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Ajustement en comptabilité générale (CG) sur les comptes de charges ou produits initiaux à chaque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étape : comptabilisation d’une réduction de la créance ou de la dette en contrepartie des comptes</w:t>
      </w:r>
    </w:p>
    <w:p w14:paraId="1BB32A64" w14:textId="0EAFAFFD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476 (différence de conversion des opérations en devises – Actif) et 477 (différence de conversion des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opérations en devises – Passif)</w:t>
      </w:r>
    </w:p>
    <w:p w14:paraId="6D9729D9" w14:textId="4BCDC4B3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lastRenderedPageBreak/>
        <w:t>Il convient d'ajuster la dette ou la créance via les comptes 477 ou 476, qui sont extournés avant le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paiement.</w:t>
      </w:r>
    </w:p>
    <w:p w14:paraId="5B2D5CFF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  <w:u w:val="single"/>
        </w:rPr>
      </w:pPr>
      <w:r w:rsidRPr="00D04FBA">
        <w:rPr>
          <w:rFonts w:cs="Verdana"/>
          <w:color w:val="0F4761" w:themeColor="accent1" w:themeShade="BF"/>
          <w:kern w:val="0"/>
          <w:u w:val="single"/>
        </w:rPr>
        <w:t>Exemple pour un écart de change défavorable de 2 € pour une dépense de 100 €</w:t>
      </w:r>
    </w:p>
    <w:p w14:paraId="76558384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Certification du service fait :</w:t>
      </w:r>
    </w:p>
    <w:p w14:paraId="49A359D6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6 100 €</w:t>
      </w:r>
    </w:p>
    <w:p w14:paraId="1ABA3C63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408 100 €</w:t>
      </w:r>
    </w:p>
    <w:p w14:paraId="75AB6D0A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Prise en charge de la DP :</w:t>
      </w:r>
    </w:p>
    <w:p w14:paraId="4C8318FC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408 100 €</w:t>
      </w:r>
    </w:p>
    <w:p w14:paraId="4452BE8D" w14:textId="721E794A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401 100 et simultanément : Débit 476 / Crédit 401 pour 2 € (en cas de perte de change)</w:t>
      </w:r>
    </w:p>
    <w:p w14:paraId="3564F214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Mise en paiement :</w:t>
      </w:r>
    </w:p>
    <w:p w14:paraId="7CA7AE59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401 2 €</w:t>
      </w:r>
    </w:p>
    <w:p w14:paraId="1AEC5FB6" w14:textId="77777777" w:rsid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476 2 €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 xml:space="preserve">puis </w:t>
      </w:r>
    </w:p>
    <w:p w14:paraId="568C186F" w14:textId="1B0B4896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401 pour 100 €</w:t>
      </w:r>
    </w:p>
    <w:p w14:paraId="57923AD5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6586 pour 2 €</w:t>
      </w:r>
    </w:p>
    <w:p w14:paraId="1FE7D56C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5151 pour 102 €</w:t>
      </w:r>
    </w:p>
    <w:p w14:paraId="60EEF277" w14:textId="70A5EA60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Les écarts de change peuvent également être enregistrés uniquement au moment de la mise en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paiement de la demande de paiement</w:t>
      </w:r>
    </w:p>
    <w:p w14:paraId="49D8AAD4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 xml:space="preserve">Ajustement CG : impact sur les comptes </w:t>
      </w:r>
      <w:proofErr w:type="gramStart"/>
      <w:r w:rsidRPr="00D04FBA">
        <w:rPr>
          <w:rFonts w:cs="Verdana"/>
          <w:color w:val="0F4761" w:themeColor="accent1" w:themeShade="BF"/>
          <w:kern w:val="0"/>
        </w:rPr>
        <w:t>6586 .</w:t>
      </w:r>
      <w:proofErr w:type="gramEnd"/>
    </w:p>
    <w:p w14:paraId="5F850E18" w14:textId="0A8D8416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Règlement de la dette et constatation de la perte de change de fonctionnement au cours de change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du jour lors de mise en paiement de la demande de paiement.</w:t>
      </w:r>
    </w:p>
    <w:p w14:paraId="0DE6E6D9" w14:textId="0EB53BA4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6586 « Pertes de change sur opérations de fonctionnement » pour le montant de la perte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constatée</w:t>
      </w:r>
    </w:p>
    <w:p w14:paraId="6E32D37E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 xml:space="preserve">Débit compte de </w:t>
      </w:r>
      <w:proofErr w:type="gramStart"/>
      <w:r w:rsidRPr="00D04FBA">
        <w:rPr>
          <w:rFonts w:cs="Verdana"/>
          <w:color w:val="0F4761" w:themeColor="accent1" w:themeShade="BF"/>
          <w:kern w:val="0"/>
        </w:rPr>
        <w:t>fournisseurs intéressé</w:t>
      </w:r>
      <w:proofErr w:type="gramEnd"/>
      <w:r w:rsidRPr="00D04FBA">
        <w:rPr>
          <w:rFonts w:cs="Verdana"/>
          <w:color w:val="0F4761" w:themeColor="accent1" w:themeShade="BF"/>
          <w:kern w:val="0"/>
        </w:rPr>
        <w:t>, pour le montant de la dette</w:t>
      </w:r>
    </w:p>
    <w:p w14:paraId="2EE87F9C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compte de disponibilités, pour le montant du règlement</w:t>
      </w:r>
    </w:p>
    <w:p w14:paraId="287460CF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,Italic"/>
          <w:i/>
          <w:iCs/>
          <w:color w:val="0F4761" w:themeColor="accent1" w:themeShade="BF"/>
          <w:kern w:val="0"/>
        </w:rPr>
      </w:pPr>
      <w:r w:rsidRPr="00D04FBA">
        <w:rPr>
          <w:rFonts w:cs="Verdana,Italic"/>
          <w:i/>
          <w:iCs/>
          <w:color w:val="0F4761" w:themeColor="accent1" w:themeShade="BF"/>
          <w:kern w:val="0"/>
        </w:rPr>
        <w:t xml:space="preserve">2 / </w:t>
      </w:r>
      <w:r w:rsidRPr="00D04FBA">
        <w:rPr>
          <w:rFonts w:cs="Verdana,Italic"/>
          <w:i/>
          <w:iCs/>
          <w:color w:val="0F4761" w:themeColor="accent1" w:themeShade="BF"/>
          <w:kern w:val="0"/>
          <w:u w:val="single"/>
        </w:rPr>
        <w:t>Traitement des écarts de change lorsque l’opération est dénouée</w:t>
      </w:r>
      <w:r w:rsidRPr="00D04FBA">
        <w:rPr>
          <w:rFonts w:cs="Verdana,Italic"/>
          <w:i/>
          <w:iCs/>
          <w:color w:val="0F4761" w:themeColor="accent1" w:themeShade="BF"/>
          <w:kern w:val="0"/>
        </w:rPr>
        <w:t xml:space="preserve"> :</w:t>
      </w:r>
    </w:p>
    <w:p w14:paraId="4A12E2EB" w14:textId="5EA4C141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Lors d’opérations en devises, des écarts peuvent être constatés postérieurement à la mise en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paiement entre le montant de la DP et le montant apparaissant sur le relevé DFT.</w:t>
      </w:r>
    </w:p>
    <w:p w14:paraId="5B55AB0D" w14:textId="41F0E5A2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Dans ce cas, il convient de distinguer tout d’abord s’il s’agit de frais bancaires ou d’écarts de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change :</w:t>
      </w:r>
    </w:p>
    <w:p w14:paraId="5AECA181" w14:textId="7664B04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 xml:space="preserve">- </w:t>
      </w:r>
      <w:r w:rsidRPr="00D04FBA">
        <w:rPr>
          <w:rFonts w:cs="Verdana"/>
          <w:b/>
          <w:bCs/>
          <w:color w:val="0F4761" w:themeColor="accent1" w:themeShade="BF"/>
          <w:kern w:val="0"/>
        </w:rPr>
        <w:t>S’il s’agit de frais bancaire</w:t>
      </w:r>
      <w:r w:rsidRPr="00D04FBA">
        <w:rPr>
          <w:rFonts w:cs="Verdana"/>
          <w:color w:val="0F4761" w:themeColor="accent1" w:themeShade="BF"/>
          <w:kern w:val="0"/>
        </w:rPr>
        <w:t>, leur traitement est identique à celui d’une dépense avant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ordonnancement avec impact budgétaire en AE / CP. (Frais de commission, frais de change…)</w:t>
      </w:r>
    </w:p>
    <w:p w14:paraId="42FCB18C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a) Constatation du prélèvement effectué sur le compte DFT de l’établissement : Débit 4721 /</w:t>
      </w:r>
    </w:p>
    <w:p w14:paraId="31BB84AD" w14:textId="0ED43C94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5151 (écriture constatée via une demande de versement – les DV tracent les flux financiers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réels mais ils ne portent pas d’impact en CB)</w:t>
      </w:r>
    </w:p>
    <w:p w14:paraId="2F36674E" w14:textId="3DD1CCCA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b) Emission d’une demande de paiement à l’initiative de l’ordonnateur : consommation AE et CP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pour le montant de la commission bancaire Débit 6 / Crédit 401</w:t>
      </w:r>
    </w:p>
    <w:p w14:paraId="5525E73D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c) Solde du compte d’imputation provisoire : Débit 401 / Crédit 4721</w:t>
      </w:r>
    </w:p>
    <w:p w14:paraId="6880CED6" w14:textId="01BA4ADE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S’il s’agit d’écarts de change : En CG les écarts de change qui sont constatés sur le relevé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DFT après la mise en paiement ne sont comptabilisés qu’en pertes (Débit 6586 pertes de change –</w:t>
      </w:r>
    </w:p>
    <w:p w14:paraId="308BE433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5151) ou gains de change (Débit 5151 / Crédit 7586 – gains de change)</w:t>
      </w:r>
    </w:p>
    <w:p w14:paraId="1DB57BCA" w14:textId="77777777" w:rsidR="002636D3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 xml:space="preserve">En CB : aucun ajustement, aucune régularisation à prévoir. </w:t>
      </w:r>
    </w:p>
    <w:p w14:paraId="73D17BF2" w14:textId="77777777" w:rsidR="002636D3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Les écarts qui apparaissent après le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dénouement de l’opération n’ont pas d’impact en CB (ni consommation d’AE, ni consommation de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CP).</w:t>
      </w:r>
      <w:r>
        <w:rPr>
          <w:rFonts w:cs="Verdana"/>
          <w:color w:val="0F4761" w:themeColor="accent1" w:themeShade="BF"/>
          <w:kern w:val="0"/>
        </w:rPr>
        <w:t xml:space="preserve"> </w:t>
      </w:r>
    </w:p>
    <w:p w14:paraId="68B50FE5" w14:textId="7A9438CB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L’</w:t>
      </w:r>
      <w:r w:rsidR="002636D3">
        <w:rPr>
          <w:rFonts w:cs="Verdana"/>
          <w:color w:val="0F4761" w:themeColor="accent1" w:themeShade="BF"/>
          <w:kern w:val="0"/>
        </w:rPr>
        <w:t>é</w:t>
      </w:r>
      <w:r w:rsidR="002636D3" w:rsidRPr="00D04FBA">
        <w:rPr>
          <w:rFonts w:cs="Verdana"/>
          <w:color w:val="0F4761" w:themeColor="accent1" w:themeShade="BF"/>
          <w:kern w:val="0"/>
        </w:rPr>
        <w:t>cart</w:t>
      </w:r>
      <w:r w:rsidRPr="00D04FBA">
        <w:rPr>
          <w:rFonts w:cs="Verdana"/>
          <w:color w:val="0F4761" w:themeColor="accent1" w:themeShade="BF"/>
          <w:kern w:val="0"/>
        </w:rPr>
        <w:t xml:space="preserve"> entre les deux comptabilités doit être néanmoins tracé via une demande de versement à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l’initiative de l’agent comptable.</w:t>
      </w:r>
    </w:p>
    <w:p w14:paraId="11580D5B" w14:textId="70D6A0B6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Pour impacter la CG sans modifier la CB il convient d’utiliser l’outil de gestion : Demande de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versement.</w:t>
      </w:r>
    </w:p>
    <w:p w14:paraId="2D885F95" w14:textId="215752B4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Enfin, l'écart entre les comptabilités doit apparaître sur la ligne « autres encaissements ou autres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décaissements non budgétaires » dans le tableau d’équilibre financier.</w:t>
      </w:r>
    </w:p>
    <w:p w14:paraId="7E3BF301" w14:textId="3149DC8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Le choix de la méthode entre ces deux modes de gestion dépend de l’importance des flux en devises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à traiter. S’ils sont ponctuels et modestes, ils seront alors traités au moment de la mise en paiement.</w:t>
      </w:r>
    </w:p>
    <w:p w14:paraId="51B71804" w14:textId="06CD268E" w:rsid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En revanche, si ces dépenses représentent un nombre important d’engagements juridiques et pour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des montants importants, il apparaît pertinent de traiter ces écarts de change plutôt à chaque étape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du flux d’exécution de la dépense. Cela permet de dégager, quand les taux de chancellerie sont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avantageux, des AE en procédant à des retraits d’engagement lorsque l’on est sur le même exercice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que celui de la souscription de l’engagement.</w:t>
      </w:r>
    </w:p>
    <w:p w14:paraId="5EBBE297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</w:p>
    <w:p w14:paraId="78213D6C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,Bold"/>
          <w:b/>
          <w:bCs/>
          <w:color w:val="0F4761" w:themeColor="accent1" w:themeShade="BF"/>
          <w:kern w:val="0"/>
        </w:rPr>
      </w:pPr>
      <w:r w:rsidRPr="00D04FBA">
        <w:rPr>
          <w:rFonts w:cs="Verdana,Bold"/>
          <w:b/>
          <w:bCs/>
          <w:color w:val="0F4761" w:themeColor="accent1" w:themeShade="BF"/>
          <w:kern w:val="0"/>
        </w:rPr>
        <w:t>II / PERTES / GAINS DE CHANGE EN RECETTE</w:t>
      </w:r>
    </w:p>
    <w:p w14:paraId="275B034E" w14:textId="5672D35A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Lors de la réalisation de l'opération, les recettes en monnaie étrangère sont converties et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comptabilisées en euros sur la base du dernier cours de change, en utilisant le taux de chancellerie.</w:t>
      </w:r>
    </w:p>
    <w:p w14:paraId="66BF6B39" w14:textId="26490DD1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La recette est enregistrée en comptabilité budgétaire pour sa contre-valeur en euros à la date de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l’encaissement.</w:t>
      </w:r>
    </w:p>
    <w:p w14:paraId="75D1D7F2" w14:textId="35FFADBE" w:rsid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En comptabilité générale, les pertes et les gains de change résultant des recettes encaissées au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cours de l’exercice sont comptabilisés aux comptes de charges et de produits correspondants.</w:t>
      </w:r>
    </w:p>
    <w:p w14:paraId="2C553C18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</w:p>
    <w:p w14:paraId="0E5656F4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 xml:space="preserve">1/ </w:t>
      </w:r>
      <w:r w:rsidRPr="00D04FBA">
        <w:rPr>
          <w:rFonts w:cs="Verdana"/>
          <w:color w:val="0F4761" w:themeColor="accent1" w:themeShade="BF"/>
          <w:kern w:val="0"/>
          <w:u w:val="single"/>
        </w:rPr>
        <w:t>Traitement des écarts de change avant l’encaissement du titre</w:t>
      </w:r>
      <w:r w:rsidRPr="00D04FBA">
        <w:rPr>
          <w:rFonts w:cs="Verdana"/>
          <w:color w:val="0F4761" w:themeColor="accent1" w:themeShade="BF"/>
          <w:kern w:val="0"/>
        </w:rPr>
        <w:t xml:space="preserve"> :</w:t>
      </w:r>
    </w:p>
    <w:p w14:paraId="0BF9F574" w14:textId="735B6C09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Ajustement en comptabilité générale (CG) sur les comptes de produits initiaux à chaque étape :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comptabilisation d’une réduction de la créance ou de la dette en contrepartie des comptes 476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(différence de conversion des opérations en devises – Actif) et 477 (différence de conversion des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opérations en devises – Passif)</w:t>
      </w:r>
    </w:p>
    <w:p w14:paraId="295DD10B" w14:textId="3742A6F1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Il convient d'ajuster la dette ou la créance via les comptes 477 ou 476, qui sont extournés avant le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paiement.</w:t>
      </w:r>
    </w:p>
    <w:p w14:paraId="0F296CC3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Exemple pour un écart de change favorable de 2 € pour une recette de 100 €</w:t>
      </w:r>
    </w:p>
    <w:p w14:paraId="433E3F8B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Certification d’acquisition du droit :</w:t>
      </w:r>
    </w:p>
    <w:p w14:paraId="4BCAA0D6" w14:textId="46189502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7 100 €</w:t>
      </w:r>
    </w:p>
    <w:p w14:paraId="4D59A175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418 100 €</w:t>
      </w:r>
    </w:p>
    <w:p w14:paraId="0293D9CD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Emission du titre</w:t>
      </w:r>
    </w:p>
    <w:p w14:paraId="7D174E35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411 100 €</w:t>
      </w:r>
    </w:p>
    <w:p w14:paraId="7444D7C0" w14:textId="77777777" w:rsid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418 100 €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 xml:space="preserve">et simultanément : </w:t>
      </w:r>
    </w:p>
    <w:p w14:paraId="2B064052" w14:textId="6370AA5F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411 / Crédit 477 pour 2 € (en cas de gain de change)</w:t>
      </w:r>
    </w:p>
    <w:p w14:paraId="29DE4489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- Encaissement du titre :</w:t>
      </w:r>
    </w:p>
    <w:p w14:paraId="4EF815D5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477 2 €</w:t>
      </w:r>
    </w:p>
    <w:p w14:paraId="0F5B3F02" w14:textId="77777777" w:rsid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411 2 €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 xml:space="preserve">puis </w:t>
      </w:r>
    </w:p>
    <w:p w14:paraId="74C8EE07" w14:textId="545D037A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411 pour 100 €</w:t>
      </w:r>
    </w:p>
    <w:p w14:paraId="5B607841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7586 pour 2 €</w:t>
      </w:r>
    </w:p>
    <w:p w14:paraId="42C60D89" w14:textId="767577C9" w:rsid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5151 pour 102 €</w:t>
      </w:r>
    </w:p>
    <w:p w14:paraId="5D2C8ED5" w14:textId="359F7E89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2 / Les écarts de change peuvent également être enregistrés uniquement au moment de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l’encaissement du titre :</w:t>
      </w:r>
    </w:p>
    <w:p w14:paraId="11706E2E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Règlement de la créance et constatation du gain de change au cours de change du jour.</w:t>
      </w:r>
    </w:p>
    <w:p w14:paraId="213F844C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Débit compte de disponibilités, pour le montant du règlement</w:t>
      </w:r>
    </w:p>
    <w:p w14:paraId="063606FF" w14:textId="4053E068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7586 « Gains de change –sur opération de fonctionnement », pour le montant du gain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constaté</w:t>
      </w:r>
    </w:p>
    <w:p w14:paraId="61B727C5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Crédit compte de clients intéressés, pour le montant de la créance constatée.</w:t>
      </w:r>
    </w:p>
    <w:p w14:paraId="4A7DA72D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Dans tous les cas le titre est soldé pour sa valeur de prise en charge.</w:t>
      </w:r>
    </w:p>
    <w:p w14:paraId="518357CB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Ce sont les comptes 6586 et 7586 qui enregistrent les fluctuations de change.</w:t>
      </w:r>
    </w:p>
    <w:p w14:paraId="44F27D7E" w14:textId="3CE5A4A6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Le pôle déduit de cette situation que les opérations de change ne doivent pas avoir d’impact sur la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comptabilité budgétaire et sont enregistrées via une demande de reversement.</w:t>
      </w:r>
    </w:p>
    <w:p w14:paraId="194DD35D" w14:textId="45355099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>Ainsi, les opérations de change constatées lors de l’encaissement ou du décaissement n’ont pas</w:t>
      </w:r>
      <w:r>
        <w:rPr>
          <w:rFonts w:cs="Verdana"/>
          <w:color w:val="0F4761" w:themeColor="accent1" w:themeShade="BF"/>
          <w:kern w:val="0"/>
        </w:rPr>
        <w:t xml:space="preserve"> </w:t>
      </w:r>
      <w:r w:rsidRPr="00D04FBA">
        <w:rPr>
          <w:rFonts w:cs="Verdana"/>
          <w:color w:val="0F4761" w:themeColor="accent1" w:themeShade="BF"/>
          <w:kern w:val="0"/>
        </w:rPr>
        <w:t>d’impact en comptabilité budgétaire.</w:t>
      </w:r>
    </w:p>
    <w:p w14:paraId="3B0F6C0A" w14:textId="59B247B6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  <w:r w:rsidRPr="00D04FBA">
        <w:rPr>
          <w:rFonts w:cs="Verdana"/>
          <w:color w:val="0F4761" w:themeColor="accent1" w:themeShade="BF"/>
          <w:kern w:val="0"/>
        </w:rPr>
        <w:t xml:space="preserve">3 / Traitement des écarts de change lorsque l’opération est dénouée : </w:t>
      </w:r>
      <w:proofErr w:type="spellStart"/>
      <w:r w:rsidRPr="00D04FBA">
        <w:rPr>
          <w:rFonts w:cs="Verdana"/>
          <w:i/>
          <w:iCs/>
          <w:color w:val="0F4761" w:themeColor="accent1" w:themeShade="BF"/>
          <w:kern w:val="0"/>
        </w:rPr>
        <w:t>cf</w:t>
      </w:r>
      <w:proofErr w:type="spellEnd"/>
      <w:r w:rsidRPr="00D04FBA">
        <w:rPr>
          <w:rFonts w:cs="Verdana"/>
          <w:i/>
          <w:iCs/>
          <w:color w:val="0F4761" w:themeColor="accent1" w:themeShade="BF"/>
          <w:kern w:val="0"/>
        </w:rPr>
        <w:t xml:space="preserve"> supra</w:t>
      </w:r>
    </w:p>
    <w:p w14:paraId="75474232" w14:textId="77777777" w:rsidR="00D04FBA" w:rsidRPr="00D04FBA" w:rsidRDefault="00D04FBA" w:rsidP="00D04FBA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F4761" w:themeColor="accent1" w:themeShade="BF"/>
          <w:kern w:val="0"/>
        </w:rPr>
      </w:pPr>
    </w:p>
    <w:sectPr w:rsidR="00D04FBA" w:rsidRPr="00D04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BA"/>
    <w:rsid w:val="002636D3"/>
    <w:rsid w:val="00306E20"/>
    <w:rsid w:val="00AF7E60"/>
    <w:rsid w:val="00BD434F"/>
    <w:rsid w:val="00D04FBA"/>
    <w:rsid w:val="00D2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F98E"/>
  <w15:chartTrackingRefBased/>
  <w15:docId w15:val="{3107F539-2BDF-43DE-91D3-6DC232A7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4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4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4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4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4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4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4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4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4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4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4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4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4FB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4FB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4FB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4FB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4FB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4FB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4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4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4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4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4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4FB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4FB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4FB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4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4FB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4F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1381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GRAND PORT MARITIME DE MARSEILLE</Company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2024-10-15T09:38:00Z</dcterms:created>
  <dcterms:modified xsi:type="dcterms:W3CDTF">2024-10-15T09:50:00Z</dcterms:modified>
</cp:coreProperties>
</file>