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71D" w:rsidRDefault="0042271D" w:rsidP="0042271D">
      <w:pPr>
        <w:autoSpaceDE w:val="0"/>
        <w:autoSpaceDN w:val="0"/>
        <w:adjustRightInd w:val="0"/>
        <w:spacing w:after="0" w:line="240" w:lineRule="auto"/>
        <w:rPr>
          <w:rFonts w:ascii="MarianneBold" w:hAnsi="MarianneBold" w:cs="MarianneBold"/>
          <w:b/>
          <w:bCs/>
        </w:rPr>
      </w:pPr>
      <w:r>
        <w:rPr>
          <w:rFonts w:ascii="MarianneBold" w:hAnsi="MarianneBold" w:cs="MarianneBold"/>
          <w:b/>
          <w:bCs/>
        </w:rPr>
        <w:t>Le calcul du fonds de roulement (FDR) – tableau de situation patrimoniale</w:t>
      </w:r>
    </w:p>
    <w:p w:rsidR="0042271D" w:rsidRDefault="0042271D" w:rsidP="0042271D">
      <w:pPr>
        <w:autoSpaceDE w:val="0"/>
        <w:autoSpaceDN w:val="0"/>
        <w:adjustRightInd w:val="0"/>
        <w:spacing w:after="0" w:line="240" w:lineRule="auto"/>
        <w:rPr>
          <w:rFonts w:ascii="MarianneBold" w:hAnsi="MarianneBold" w:cs="MarianneBold"/>
          <w:b/>
          <w:bCs/>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Regular" w:hAnsi="MarianneRegular" w:cs="MarianneRegular"/>
        </w:rPr>
        <w:t xml:space="preserve">Le fonds de roulement permet de mesurer les ressources dont l'établissement dispose à moyen et long terme pour financer son activité courante, mesurée par le besoin en fonds de roulement (BFR). Le suivi de cet indicateur d'analyse financière permet de faire un pilotage de l'équilibre financier et donc de couvrir les risques financiers (retard de paiement des comptes clients, investissements lourds, </w:t>
      </w:r>
      <w:proofErr w:type="gramStart"/>
      <w:r>
        <w:rPr>
          <w:rFonts w:ascii="MarianneRegular" w:hAnsi="MarianneRegular" w:cs="MarianneRegular"/>
        </w:rPr>
        <w:t>etc...</w:t>
      </w:r>
      <w:proofErr w:type="gramEnd"/>
      <w:r>
        <w:rPr>
          <w:rFonts w:ascii="MarianneRegular" w:hAnsi="MarianneRegular" w:cs="MarianneRegular"/>
        </w:rPr>
        <w:t>).</w:t>
      </w:r>
    </w:p>
    <w:p w:rsidR="0042271D" w:rsidRDefault="0042271D" w:rsidP="0042271D">
      <w:pPr>
        <w:autoSpaceDE w:val="0"/>
        <w:autoSpaceDN w:val="0"/>
        <w:adjustRightInd w:val="0"/>
        <w:spacing w:after="0" w:line="240" w:lineRule="auto"/>
        <w:jc w:val="both"/>
        <w:rPr>
          <w:rFonts w:ascii="MarianneRegular" w:hAnsi="MarianneRegular" w:cs="MarianneRegular"/>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Regular" w:hAnsi="MarianneRegular" w:cs="MarianneRegular"/>
        </w:rPr>
        <w:t>Après financement du BFR, le calcul permet aussi de mesurer la part de financement disponible pour l’acquisition de nouveaux actifs.</w:t>
      </w:r>
    </w:p>
    <w:p w:rsidR="0042271D" w:rsidRDefault="0042271D" w:rsidP="0042271D">
      <w:pPr>
        <w:autoSpaceDE w:val="0"/>
        <w:autoSpaceDN w:val="0"/>
        <w:adjustRightInd w:val="0"/>
        <w:spacing w:after="0" w:line="240" w:lineRule="auto"/>
        <w:rPr>
          <w:rFonts w:ascii="MarianneRegular" w:hAnsi="MarianneRegular" w:cs="MarianneRegular"/>
        </w:rPr>
      </w:pPr>
    </w:p>
    <w:p w:rsidR="0042271D" w:rsidRDefault="0042271D" w:rsidP="0042271D">
      <w:pPr>
        <w:autoSpaceDE w:val="0"/>
        <w:autoSpaceDN w:val="0"/>
        <w:adjustRightInd w:val="0"/>
        <w:spacing w:after="0" w:line="240" w:lineRule="auto"/>
        <w:rPr>
          <w:rFonts w:ascii="MarianneRegular" w:hAnsi="MarianneRegular" w:cs="MarianneRegular"/>
        </w:rPr>
      </w:pPr>
      <w:r>
        <w:rPr>
          <w:rFonts w:ascii="MarianneRegular" w:hAnsi="MarianneRegular" w:cs="MarianneRegular"/>
        </w:rPr>
        <w:t>Le FDR se calcule de deux manières :</w:t>
      </w:r>
    </w:p>
    <w:p w:rsidR="0042271D" w:rsidRDefault="0042271D" w:rsidP="0042271D">
      <w:pPr>
        <w:autoSpaceDE w:val="0"/>
        <w:autoSpaceDN w:val="0"/>
        <w:adjustRightInd w:val="0"/>
        <w:spacing w:after="0" w:line="240" w:lineRule="auto"/>
        <w:rPr>
          <w:rFonts w:ascii="MarianneRegular" w:hAnsi="MarianneRegular" w:cs="MarianneRegular"/>
        </w:rPr>
      </w:pPr>
    </w:p>
    <w:p w:rsidR="0042271D" w:rsidRPr="0042271D" w:rsidRDefault="0042271D" w:rsidP="0042271D">
      <w:pPr>
        <w:pStyle w:val="Paragraphedeliste"/>
        <w:numPr>
          <w:ilvl w:val="0"/>
          <w:numId w:val="1"/>
        </w:numPr>
        <w:autoSpaceDE w:val="0"/>
        <w:autoSpaceDN w:val="0"/>
        <w:adjustRightInd w:val="0"/>
        <w:spacing w:after="0" w:line="240" w:lineRule="auto"/>
        <w:rPr>
          <w:rFonts w:ascii="MarianneBold" w:hAnsi="MarianneBold" w:cs="MarianneBold"/>
          <w:b/>
          <w:bCs/>
        </w:rPr>
      </w:pPr>
      <w:r w:rsidRPr="0042271D">
        <w:rPr>
          <w:rFonts w:ascii="MarianneBold" w:hAnsi="MarianneBold" w:cs="MarianneBold"/>
          <w:b/>
          <w:bCs/>
        </w:rPr>
        <w:t>Soit en fonction des éléments chiffrés du haut de bilan.</w:t>
      </w:r>
    </w:p>
    <w:p w:rsidR="0042271D" w:rsidRPr="0042271D" w:rsidRDefault="0042271D" w:rsidP="0042271D">
      <w:pPr>
        <w:pStyle w:val="Paragraphedeliste"/>
        <w:autoSpaceDE w:val="0"/>
        <w:autoSpaceDN w:val="0"/>
        <w:adjustRightInd w:val="0"/>
        <w:spacing w:after="0" w:line="240" w:lineRule="auto"/>
        <w:rPr>
          <w:rFonts w:ascii="MarianneBold" w:hAnsi="MarianneBold" w:cs="MarianneBold"/>
          <w:b/>
          <w:bCs/>
        </w:rPr>
      </w:pPr>
    </w:p>
    <w:p w:rsidR="0042271D" w:rsidRDefault="0042271D" w:rsidP="0042271D">
      <w:pPr>
        <w:autoSpaceDE w:val="0"/>
        <w:autoSpaceDN w:val="0"/>
        <w:adjustRightInd w:val="0"/>
        <w:spacing w:after="0" w:line="240" w:lineRule="auto"/>
        <w:rPr>
          <w:rFonts w:ascii="MarianneRegular" w:hAnsi="MarianneRegular" w:cs="MarianneRegular"/>
        </w:rPr>
      </w:pPr>
      <w:r>
        <w:rPr>
          <w:rFonts w:ascii="MarianneRegular" w:hAnsi="MarianneRegular" w:cs="MarianneRegular"/>
        </w:rPr>
        <w:t>Dans ce cas, FDR = somme des ressources stables - somme des emplois stables.</w:t>
      </w:r>
    </w:p>
    <w:p w:rsidR="0042271D" w:rsidRDefault="0042271D" w:rsidP="0042271D">
      <w:pPr>
        <w:autoSpaceDE w:val="0"/>
        <w:autoSpaceDN w:val="0"/>
        <w:adjustRightInd w:val="0"/>
        <w:spacing w:after="0" w:line="240" w:lineRule="auto"/>
        <w:rPr>
          <w:rFonts w:ascii="MarianneRegular" w:hAnsi="MarianneRegular" w:cs="MarianneRegular"/>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Regular" w:hAnsi="MarianneRegular" w:cs="MarianneRegular"/>
        </w:rPr>
        <w:t>Les ressources stables sont constituées des fonds propres (comptes de racines 10x à 14x), des provisions pour risques et charges (comptes de racine 15x), des amortissements et dépréciations de l'actif (comptes de racines 28x, 29x, 39x, 49x et 59x) et des dettes financières (comptes de racines 16x -hors 1688x et 169x- et 17x) à l'exception des concours bancaires courants et des soldes créditeurs de banque.</w:t>
      </w:r>
    </w:p>
    <w:p w:rsidR="0042271D" w:rsidRDefault="0042271D" w:rsidP="0042271D">
      <w:pPr>
        <w:autoSpaceDE w:val="0"/>
        <w:autoSpaceDN w:val="0"/>
        <w:adjustRightInd w:val="0"/>
        <w:spacing w:after="0" w:line="240" w:lineRule="auto"/>
        <w:rPr>
          <w:rFonts w:ascii="MarianneRegular" w:hAnsi="MarianneRegular" w:cs="MarianneRegular"/>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Regular" w:hAnsi="MarianneRegular" w:cs="MarianneRegular"/>
        </w:rPr>
        <w:t>Les amortissements et dépréciations de l'actif sont inclus dans les ressources stables car il est considéré que leur volume reste approximativement constant dans le temps, ce qui autorise donc à les assimiler à des ressources stables.</w:t>
      </w:r>
    </w:p>
    <w:p w:rsidR="0042271D" w:rsidRDefault="0042271D" w:rsidP="0042271D">
      <w:pPr>
        <w:autoSpaceDE w:val="0"/>
        <w:autoSpaceDN w:val="0"/>
        <w:adjustRightInd w:val="0"/>
        <w:spacing w:after="0" w:line="240" w:lineRule="auto"/>
        <w:rPr>
          <w:rFonts w:ascii="MarianneRegular" w:hAnsi="MarianneRegular" w:cs="MarianneRegular"/>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Regular" w:hAnsi="MarianneRegular" w:cs="MarianneRegular"/>
        </w:rPr>
        <w:t>Les emplois stables sont constitués de l'actif immobilisé brut (immobilisations incorporelles, corporelles et financières -hors comptes 2678x, 2688x et 2768x), des charges à répartir sur plusieurs exercices (comptes 481x) et des primes de remboursements des obligations (comptes 169x).</w:t>
      </w:r>
    </w:p>
    <w:p w:rsidR="0042271D" w:rsidRDefault="0042271D" w:rsidP="0042271D">
      <w:pPr>
        <w:autoSpaceDE w:val="0"/>
        <w:autoSpaceDN w:val="0"/>
        <w:adjustRightInd w:val="0"/>
        <w:spacing w:after="0" w:line="240" w:lineRule="auto"/>
        <w:jc w:val="both"/>
        <w:rPr>
          <w:rFonts w:ascii="MarianneRegular" w:hAnsi="MarianneRegular" w:cs="MarianneRegular"/>
        </w:rPr>
      </w:pPr>
    </w:p>
    <w:p w:rsidR="0042271D" w:rsidRPr="0042271D" w:rsidRDefault="0042271D" w:rsidP="0042271D">
      <w:pPr>
        <w:pStyle w:val="Paragraphedeliste"/>
        <w:numPr>
          <w:ilvl w:val="0"/>
          <w:numId w:val="1"/>
        </w:numPr>
        <w:autoSpaceDE w:val="0"/>
        <w:autoSpaceDN w:val="0"/>
        <w:adjustRightInd w:val="0"/>
        <w:spacing w:after="0" w:line="240" w:lineRule="auto"/>
        <w:rPr>
          <w:rFonts w:ascii="MarianneBold" w:hAnsi="MarianneBold" w:cs="MarianneBold"/>
          <w:b/>
          <w:bCs/>
        </w:rPr>
      </w:pPr>
      <w:r w:rsidRPr="0042271D">
        <w:rPr>
          <w:rFonts w:ascii="MarianneBold" w:hAnsi="MarianneBold" w:cs="MarianneBold"/>
          <w:b/>
          <w:bCs/>
        </w:rPr>
        <w:t>Soit en fonction des éléments chiffrés du bas de bilan.</w:t>
      </w:r>
    </w:p>
    <w:p w:rsidR="0042271D" w:rsidRPr="0042271D" w:rsidRDefault="0042271D" w:rsidP="0042271D">
      <w:pPr>
        <w:pStyle w:val="Paragraphedeliste"/>
        <w:autoSpaceDE w:val="0"/>
        <w:autoSpaceDN w:val="0"/>
        <w:adjustRightInd w:val="0"/>
        <w:spacing w:after="0" w:line="240" w:lineRule="auto"/>
        <w:rPr>
          <w:rFonts w:ascii="MarianneBold" w:hAnsi="MarianneBold" w:cs="MarianneBold"/>
          <w:b/>
          <w:bCs/>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Bold" w:hAnsi="MarianneBold" w:cs="MarianneBold"/>
          <w:b/>
          <w:bCs/>
        </w:rPr>
        <w:t xml:space="preserve">Dans ce cas, FDR = </w:t>
      </w:r>
      <w:r>
        <w:rPr>
          <w:rFonts w:ascii="MarianneRegular" w:hAnsi="MarianneRegular" w:cs="MarianneRegular"/>
        </w:rPr>
        <w:t>somme des postes de l'actif circulant brut (soldes débiteurs comptes de classe 3 + classe 4 + classe 5) - somme des postes de passif circulant (soldes créditeurs comptes de classe 4 + classe 5).</w:t>
      </w:r>
    </w:p>
    <w:p w:rsidR="0042271D" w:rsidRDefault="0042271D" w:rsidP="0042271D">
      <w:pPr>
        <w:autoSpaceDE w:val="0"/>
        <w:autoSpaceDN w:val="0"/>
        <w:adjustRightInd w:val="0"/>
        <w:spacing w:after="0" w:line="240" w:lineRule="auto"/>
        <w:jc w:val="both"/>
        <w:rPr>
          <w:rFonts w:ascii="MarianneRegular" w:hAnsi="MarianneRegular" w:cs="MarianneRegular"/>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Bold" w:hAnsi="MarianneBold" w:cs="MarianneBold"/>
          <w:b/>
          <w:bCs/>
        </w:rPr>
        <w:t xml:space="preserve">Seules les opérations génératrices d'une véritable augmentation des ressources (dont celles générant un flux financier) sont à prendre en considération pour le calcul du fonds de roulement de l'exercice. </w:t>
      </w:r>
      <w:r>
        <w:rPr>
          <w:rFonts w:ascii="MarianneRegular" w:hAnsi="MarianneRegular" w:cs="MarianneRegular"/>
        </w:rPr>
        <w:t xml:space="preserve">Par exemple, une écriture effectuée lors d'un exercice antérieur (N-1, </w:t>
      </w:r>
      <w:proofErr w:type="spellStart"/>
      <w:r>
        <w:rPr>
          <w:rFonts w:ascii="MarianneRegular" w:hAnsi="MarianneRegular" w:cs="MarianneRegular"/>
        </w:rPr>
        <w:t>etc</w:t>
      </w:r>
      <w:proofErr w:type="spellEnd"/>
      <w:r>
        <w:rPr>
          <w:rFonts w:ascii="MarianneRegular" w:hAnsi="MarianneRegular" w:cs="MarianneRegular"/>
        </w:rPr>
        <w:t>) et qui s'avère erronée est corrigée lors de l'exercice N en contrepartie du compte de report à nouveau (compte 11x). Pour autant, cette écriture n'a pas pour conséquence une augmentation de ressources, elle ne doit pas être prise en compte pour le calcul du fonds de roulement N.</w:t>
      </w:r>
    </w:p>
    <w:p w:rsidR="0042271D" w:rsidRDefault="0042271D" w:rsidP="0042271D">
      <w:pPr>
        <w:autoSpaceDE w:val="0"/>
        <w:autoSpaceDN w:val="0"/>
        <w:adjustRightInd w:val="0"/>
        <w:spacing w:after="0" w:line="240" w:lineRule="auto"/>
        <w:jc w:val="both"/>
        <w:rPr>
          <w:rFonts w:ascii="MarianneRegular" w:hAnsi="MarianneRegular" w:cs="MarianneRegular"/>
        </w:rPr>
      </w:pPr>
    </w:p>
    <w:p w:rsidR="0042271D" w:rsidRDefault="0042271D" w:rsidP="0042271D">
      <w:pPr>
        <w:autoSpaceDE w:val="0"/>
        <w:autoSpaceDN w:val="0"/>
        <w:adjustRightInd w:val="0"/>
        <w:spacing w:after="0" w:line="240" w:lineRule="auto"/>
        <w:jc w:val="both"/>
        <w:rPr>
          <w:rFonts w:ascii="MarianneRegular" w:hAnsi="MarianneRegular" w:cs="MarianneRegular"/>
        </w:rPr>
      </w:pPr>
      <w:r>
        <w:rPr>
          <w:rFonts w:ascii="MarianneBold" w:hAnsi="MarianneBold" w:cs="MarianneBold"/>
          <w:b/>
          <w:bCs/>
        </w:rPr>
        <w:t xml:space="preserve">- </w:t>
      </w:r>
      <w:bookmarkStart w:id="0" w:name="_GoBack"/>
      <w:bookmarkEnd w:id="0"/>
      <w:r>
        <w:rPr>
          <w:rFonts w:ascii="MarianneBold" w:hAnsi="MarianneBold" w:cs="MarianneBold"/>
          <w:b/>
          <w:bCs/>
        </w:rPr>
        <w:t>Le fonds de roulement se calcule après détermination du résultat de l'exercice</w:t>
      </w:r>
    </w:p>
    <w:sectPr w:rsidR="004227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rianneBold">
    <w:altName w:val="Calibri"/>
    <w:panose1 w:val="00000000000000000000"/>
    <w:charset w:val="00"/>
    <w:family w:val="auto"/>
    <w:notTrueType/>
    <w:pitch w:val="default"/>
    <w:sig w:usb0="00000003" w:usb1="00000000" w:usb2="00000000" w:usb3="00000000" w:csb0="00000001" w:csb1="00000000"/>
  </w:font>
  <w:font w:name="Marianne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014D9E"/>
    <w:multiLevelType w:val="hybridMultilevel"/>
    <w:tmpl w:val="1144A48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71D"/>
    <w:rsid w:val="0042271D"/>
    <w:rsid w:val="00596866"/>
    <w:rsid w:val="00693F76"/>
    <w:rsid w:val="0097244F"/>
    <w:rsid w:val="00AD4E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69511-43FB-4036-AA64-F3AF46DD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227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406</Words>
  <Characters>2236</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Damé Yves</cp:lastModifiedBy>
  <cp:revision>2</cp:revision>
  <dcterms:created xsi:type="dcterms:W3CDTF">2021-07-21T11:35:00Z</dcterms:created>
  <dcterms:modified xsi:type="dcterms:W3CDTF">2021-07-21T11:35:00Z</dcterms:modified>
</cp:coreProperties>
</file>