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425B4" w14:textId="5313B811" w:rsidR="00E2174D" w:rsidRPr="00592AAA" w:rsidRDefault="00E2174D" w:rsidP="00592AAA">
      <w:pPr>
        <w:jc w:val="center"/>
        <w:rPr>
          <w:b/>
          <w:bCs/>
          <w:color w:val="7030A0"/>
        </w:rPr>
      </w:pPr>
      <w:r w:rsidRPr="00592AAA">
        <w:rPr>
          <w:b/>
          <w:bCs/>
          <w:color w:val="7030A0"/>
        </w:rPr>
        <w:t>LA PRESCRIPTION</w:t>
      </w:r>
      <w:r w:rsidRPr="00592AAA">
        <w:rPr>
          <w:b/>
          <w:bCs/>
          <w:color w:val="7030A0"/>
        </w:rPr>
        <w:t xml:space="preserve"> (se reporter pour plus de détail à l’</w:t>
      </w:r>
      <w:proofErr w:type="spellStart"/>
      <w:r w:rsidRPr="00592AAA">
        <w:rPr>
          <w:b/>
          <w:bCs/>
          <w:color w:val="7030A0"/>
        </w:rPr>
        <w:t>Intruction</w:t>
      </w:r>
      <w:proofErr w:type="spellEnd"/>
      <w:r w:rsidRPr="00592AAA">
        <w:rPr>
          <w:b/>
          <w:bCs/>
          <w:color w:val="7030A0"/>
        </w:rPr>
        <w:t xml:space="preserve"> Juridique commune</w:t>
      </w:r>
      <w:r w:rsidRPr="00592AAA">
        <w:rPr>
          <w:color w:val="7030A0"/>
        </w:rPr>
        <w:t xml:space="preserve"> </w:t>
      </w:r>
      <w:r w:rsidRPr="00592AAA">
        <w:rPr>
          <w:b/>
          <w:bCs/>
          <w:color w:val="7030A0"/>
        </w:rPr>
        <w:t xml:space="preserve">applicable aux </w:t>
      </w:r>
      <w:proofErr w:type="gramStart"/>
      <w:r w:rsidRPr="00592AAA">
        <w:rPr>
          <w:b/>
          <w:bCs/>
          <w:color w:val="7030A0"/>
        </w:rPr>
        <w:t>EPN )</w:t>
      </w:r>
      <w:proofErr w:type="gramEnd"/>
    </w:p>
    <w:p w14:paraId="34C44470" w14:textId="20331CC1" w:rsidR="00E2174D" w:rsidRPr="00592AAA" w:rsidRDefault="00E2174D" w:rsidP="00592AAA">
      <w:pPr>
        <w:jc w:val="both"/>
      </w:pPr>
      <w:r w:rsidRPr="00592AAA">
        <w:t>Pour constater et recouvrer leurs créances, l’ordonnateur et l’agent comptable peuvent respectivement</w:t>
      </w:r>
      <w:r w:rsidRPr="00592AAA">
        <w:t xml:space="preserve"> </w:t>
      </w:r>
      <w:r w:rsidRPr="00592AAA">
        <w:t>engager des actions à l’encontre de leur débiteur dans le respect d’un délai. À cet égard, il convient de distinguer</w:t>
      </w:r>
      <w:r w:rsidRPr="00592AAA">
        <w:t xml:space="preserve"> </w:t>
      </w:r>
      <w:r w:rsidRPr="00592AAA">
        <w:t>deux types de délais de prescription :</w:t>
      </w:r>
    </w:p>
    <w:p w14:paraId="36700182" w14:textId="29657BE7" w:rsidR="00E2174D" w:rsidRPr="00592AAA" w:rsidRDefault="00E2174D" w:rsidP="00592AAA">
      <w:pPr>
        <w:jc w:val="both"/>
      </w:pPr>
      <w:r w:rsidRPr="00592AAA">
        <w:rPr>
          <w:b/>
          <w:bCs/>
        </w:rPr>
        <w:t xml:space="preserve">- la prescription </w:t>
      </w:r>
      <w:r w:rsidR="00592AAA">
        <w:rPr>
          <w:b/>
          <w:bCs/>
        </w:rPr>
        <w:t xml:space="preserve">de la créance (ou </w:t>
      </w:r>
      <w:r w:rsidRPr="00592AAA">
        <w:rPr>
          <w:b/>
          <w:bCs/>
        </w:rPr>
        <w:t>d’assiette</w:t>
      </w:r>
      <w:r w:rsidR="00592AAA">
        <w:rPr>
          <w:b/>
          <w:bCs/>
        </w:rPr>
        <w:t>)</w:t>
      </w:r>
      <w:r w:rsidRPr="00592AAA">
        <w:t xml:space="preserve"> : la prescription d'assiette est le délai qui court à l'encontre du créancier pour</w:t>
      </w:r>
      <w:r w:rsidRPr="00592AAA">
        <w:t xml:space="preserve"> </w:t>
      </w:r>
      <w:r w:rsidRPr="00592AAA">
        <w:t>émettre le titre de recettes. À défaut d'émission du titre dans ce délai, la prescription est acquise au profit du</w:t>
      </w:r>
      <w:r w:rsidRPr="00592AAA">
        <w:t xml:space="preserve"> </w:t>
      </w:r>
      <w:r w:rsidRPr="00592AAA">
        <w:t>débiteur et entraîne l'extinction</w:t>
      </w:r>
      <w:r w:rsidRPr="00592AAA">
        <w:t xml:space="preserve"> </w:t>
      </w:r>
      <w:r w:rsidRPr="00592AAA">
        <w:t>des droits du créancier à l’égard du débiteur.</w:t>
      </w:r>
    </w:p>
    <w:p w14:paraId="06E91665" w14:textId="180DCAD6" w:rsidR="00BD434F" w:rsidRPr="00592AAA" w:rsidRDefault="00E2174D" w:rsidP="00592AAA">
      <w:pPr>
        <w:jc w:val="both"/>
      </w:pPr>
      <w:r w:rsidRPr="00592AAA">
        <w:t xml:space="preserve">- </w:t>
      </w:r>
      <w:r w:rsidRPr="00592AAA">
        <w:rPr>
          <w:b/>
          <w:bCs/>
        </w:rPr>
        <w:t>la prescription de l’action en recouvrement</w:t>
      </w:r>
      <w:r w:rsidRPr="00592AAA">
        <w:t xml:space="preserve"> : il s’agit du délai de quatre ans dont dispose l’agent comptable</w:t>
      </w:r>
      <w:r w:rsidRPr="00592AAA">
        <w:t xml:space="preserve"> </w:t>
      </w:r>
      <w:r w:rsidRPr="00592AAA">
        <w:t>pour poursuivre le recouvrement d’une créance sous peine de forclusion de l’action en recouvrement</w:t>
      </w:r>
      <w:r w:rsidRPr="00592AAA">
        <w:t xml:space="preserve"> </w:t>
      </w:r>
      <w:r w:rsidRPr="00592AAA">
        <w:t>(article L. 274 du LPF).</w:t>
      </w:r>
    </w:p>
    <w:p w14:paraId="41933D16" w14:textId="77777777" w:rsidR="00E2174D" w:rsidRPr="00592AAA" w:rsidRDefault="00E2174D" w:rsidP="00592AAA">
      <w:pPr>
        <w:jc w:val="both"/>
      </w:pPr>
      <w:r w:rsidRPr="00592AAA">
        <w:rPr>
          <w:b/>
          <w:bCs/>
          <w:u w:val="single"/>
        </w:rPr>
        <w:t>La prescription d’assiette</w:t>
      </w:r>
      <w:r w:rsidRPr="00592AAA">
        <w:t xml:space="preserve"> est une prescription extinctive qui délivre le débiteur de son obligation de payer.</w:t>
      </w:r>
    </w:p>
    <w:p w14:paraId="6CF2F4A6" w14:textId="1B4FFCD2" w:rsidR="00E2174D" w:rsidRPr="00592AAA" w:rsidRDefault="00E2174D" w:rsidP="00592AAA">
      <w:pPr>
        <w:jc w:val="both"/>
      </w:pPr>
      <w:r w:rsidRPr="00592AAA">
        <w:t>En vertu des articles 2219 et suivants du code civil, l’ordonnateur dispose, sauf dispositions particulières, de cinq</w:t>
      </w:r>
      <w:r w:rsidR="00592AAA">
        <w:t xml:space="preserve"> </w:t>
      </w:r>
      <w:r w:rsidRPr="00592AAA">
        <w:t>ans pour émettre le titre de recette, de quatre ans lorsqu’il s’agit d’un débiteur public (</w:t>
      </w:r>
      <w:r w:rsidRPr="00592AAA">
        <w:rPr>
          <w:i/>
          <w:iCs/>
        </w:rPr>
        <w:t>article 1 de la loi n° 68-1250</w:t>
      </w:r>
      <w:r w:rsidR="00592AAA" w:rsidRPr="00592AAA">
        <w:rPr>
          <w:i/>
          <w:iCs/>
        </w:rPr>
        <w:t xml:space="preserve"> </w:t>
      </w:r>
      <w:r w:rsidRPr="00592AAA">
        <w:rPr>
          <w:i/>
          <w:iCs/>
        </w:rPr>
        <w:t>du 31 décembre 1968 relative à la prescription des créances sur l’État, les départements, les communes et les</w:t>
      </w:r>
      <w:r w:rsidR="00592AAA" w:rsidRPr="00592AAA">
        <w:rPr>
          <w:i/>
          <w:iCs/>
        </w:rPr>
        <w:t xml:space="preserve"> </w:t>
      </w:r>
      <w:r w:rsidRPr="00592AAA">
        <w:rPr>
          <w:i/>
          <w:iCs/>
        </w:rPr>
        <w:t>établissements publics</w:t>
      </w:r>
      <w:r w:rsidRPr="00592AAA">
        <w:t>). À défaut d’émission du titre dans ces délais, la prescription est acquise sauf si dans le cas</w:t>
      </w:r>
      <w:r w:rsidR="00592AAA">
        <w:t xml:space="preserve"> </w:t>
      </w:r>
      <w:r w:rsidRPr="00592AAA">
        <w:t xml:space="preserve">de prescription quadriennale l’organe délibérant de l’établissement public prend une décision motivée </w:t>
      </w:r>
      <w:r w:rsidRPr="00592AAA">
        <w:rPr>
          <w:u w:val="single"/>
        </w:rPr>
        <w:t>pour</w:t>
      </w:r>
      <w:r w:rsidR="00592AAA" w:rsidRPr="00592AAA">
        <w:rPr>
          <w:u w:val="single"/>
        </w:rPr>
        <w:t xml:space="preserve"> </w:t>
      </w:r>
      <w:r w:rsidRPr="00592AAA">
        <w:rPr>
          <w:u w:val="single"/>
        </w:rPr>
        <w:t>relever en</w:t>
      </w:r>
      <w:r w:rsidRPr="00592AAA">
        <w:t xml:space="preserve"> tout ou partie sa créance de la prescription acquise à raison de circonstances particulières et</w:t>
      </w:r>
      <w:r w:rsidR="00592AAA">
        <w:t xml:space="preserve"> </w:t>
      </w:r>
      <w:r w:rsidRPr="00592AAA">
        <w:t>notamment de la situation du créancier en application de l’article 6 de la loi du 31 décembre 1968 précitée.</w:t>
      </w:r>
    </w:p>
    <w:p w14:paraId="5BD3CF33" w14:textId="6819486B" w:rsidR="00E2174D" w:rsidRPr="00592AAA" w:rsidRDefault="00E2174D" w:rsidP="00592AAA">
      <w:pPr>
        <w:jc w:val="both"/>
      </w:pPr>
      <w:r w:rsidRPr="00592AAA">
        <w:t xml:space="preserve">Les prescriptions de la créance (ou d’assiette) sont des prescriptions </w:t>
      </w:r>
      <w:r w:rsidRPr="00592AAA">
        <w:rPr>
          <w:u w:val="single"/>
        </w:rPr>
        <w:t>extinctives,</w:t>
      </w:r>
      <w:r w:rsidRPr="00592AAA">
        <w:t xml:space="preserve"> c’est-à-dire qu’elles emportent</w:t>
      </w:r>
      <w:r w:rsidR="00592AAA">
        <w:t xml:space="preserve"> </w:t>
      </w:r>
      <w:r w:rsidRPr="00592AAA">
        <w:t>pour le débiteur extinction de son obligation de payer la créance concernée. Ainsi, à l’issue du délai de</w:t>
      </w:r>
      <w:r w:rsidR="00592AAA">
        <w:t xml:space="preserve"> </w:t>
      </w:r>
      <w:r w:rsidRPr="00592AAA">
        <w:t>prescription, la créance est éteinte en cas d'inaction de son titulaire. La prescription est acquise lorsque le</w:t>
      </w:r>
      <w:r w:rsidR="00592AAA">
        <w:t xml:space="preserve"> </w:t>
      </w:r>
      <w:r w:rsidRPr="00592AAA">
        <w:t>dernier jour du terme est accompli.</w:t>
      </w:r>
    </w:p>
    <w:p w14:paraId="75D1031F" w14:textId="7CE24C6F" w:rsidR="00E2174D" w:rsidRPr="00592AAA" w:rsidRDefault="00E2174D" w:rsidP="00592AAA">
      <w:pPr>
        <w:jc w:val="both"/>
      </w:pPr>
      <w:r w:rsidRPr="00592AAA">
        <w:t>Le droit de propriété est imprescriptible. Sous cette réserve, les actions réelles immobilières se prescrivent par</w:t>
      </w:r>
      <w:r w:rsidR="00592AAA">
        <w:t xml:space="preserve"> </w:t>
      </w:r>
      <w:r w:rsidRPr="00592AAA">
        <w:t>trente ans à compter du jour où le titulaire d'un droit a connu ou aurait dû connaître les faits lui permettant de</w:t>
      </w:r>
      <w:r w:rsidR="00592AAA">
        <w:t xml:space="preserve"> </w:t>
      </w:r>
      <w:r w:rsidRPr="00592AAA">
        <w:t>l'exercer</w:t>
      </w:r>
      <w:r w:rsidR="00592AAA">
        <w:t>.</w:t>
      </w:r>
    </w:p>
    <w:p w14:paraId="0F95B164" w14:textId="109B274D" w:rsidR="00E2174D" w:rsidRDefault="00E2174D" w:rsidP="00592AAA">
      <w:pPr>
        <w:jc w:val="both"/>
      </w:pPr>
      <w:r w:rsidRPr="00592AAA">
        <w:t>Dans le cas où la créance est détenue sur une personne de droit privé, la prescription est, le plus souvent,</w:t>
      </w:r>
      <w:r w:rsidR="00592AAA">
        <w:t xml:space="preserve"> </w:t>
      </w:r>
      <w:r w:rsidRPr="00592AAA">
        <w:t>quinquennal</w:t>
      </w:r>
      <w:r w:rsidR="00592AAA">
        <w:t>e</w:t>
      </w:r>
      <w:r w:rsidRPr="00592AAA">
        <w:t>. Elle sera quadriennale si le débiteur est une personne publique. Une loi peut toutefois allonger</w:t>
      </w:r>
      <w:r w:rsidR="00592AAA">
        <w:t xml:space="preserve"> </w:t>
      </w:r>
      <w:r w:rsidRPr="00592AAA">
        <w:t>ou raccourcir le délai de prescription</w:t>
      </w:r>
      <w:r w:rsidR="00592AAA">
        <w:t>.</w:t>
      </w:r>
    </w:p>
    <w:p w14:paraId="3D59F5A3" w14:textId="77777777" w:rsidR="00592AAA" w:rsidRPr="00592AAA" w:rsidRDefault="00592AAA" w:rsidP="00592AAA">
      <w:pPr>
        <w:jc w:val="both"/>
      </w:pPr>
    </w:p>
    <w:p w14:paraId="55D83C93" w14:textId="77777777" w:rsidR="00E2174D" w:rsidRPr="00592AAA" w:rsidRDefault="00E2174D" w:rsidP="00592AAA">
      <w:pPr>
        <w:jc w:val="both"/>
        <w:rPr>
          <w:b/>
          <w:bCs/>
          <w:u w:val="single"/>
        </w:rPr>
      </w:pPr>
      <w:r w:rsidRPr="00592AAA">
        <w:rPr>
          <w:b/>
          <w:bCs/>
          <w:u w:val="single"/>
        </w:rPr>
        <w:lastRenderedPageBreak/>
        <w:t>La prescription de l’action en recouvrement</w:t>
      </w:r>
    </w:p>
    <w:p w14:paraId="6A68882D" w14:textId="61830545" w:rsidR="00E2174D" w:rsidRPr="00592AAA" w:rsidRDefault="00E2174D" w:rsidP="00592AAA">
      <w:pPr>
        <w:jc w:val="both"/>
      </w:pPr>
      <w:r w:rsidRPr="00592AAA">
        <w:t>Sous réserve de dispositions contraires, l’article L. 274 du livre des procédures fiscales (LPF) a pour objet de</w:t>
      </w:r>
      <w:r w:rsidR="00592AAA">
        <w:t xml:space="preserve"> </w:t>
      </w:r>
      <w:r w:rsidRPr="00592AAA">
        <w:t>généraliser le délai de prescription quadriennal à l’ensemble des créances recouvrées par des comptables publics</w:t>
      </w:r>
      <w:r w:rsidR="00592AAA">
        <w:t xml:space="preserve"> </w:t>
      </w:r>
      <w:r w:rsidRPr="00592AAA">
        <w:t>ou des agents comptables.</w:t>
      </w:r>
    </w:p>
    <w:p w14:paraId="0AF4FAD6" w14:textId="6B17DE42" w:rsidR="00E2174D" w:rsidRPr="00592AAA" w:rsidRDefault="00E2174D" w:rsidP="00592AAA">
      <w:pPr>
        <w:jc w:val="both"/>
      </w:pPr>
      <w:r w:rsidRPr="00592AAA">
        <w:t>Dès lors, l’action en recouvrement des créances des OPN est soumise à cette prescription quadriennale</w:t>
      </w:r>
      <w:r w:rsidR="00592AAA">
        <w:t xml:space="preserve"> </w:t>
      </w:r>
      <w:r w:rsidRPr="00592AAA">
        <w:t>sachant que le point de départ de ce délai court à compter de l’envoi du titre exécutoire adressé au débiteur.</w:t>
      </w:r>
    </w:p>
    <w:p w14:paraId="6140A74C" w14:textId="6D02ACBC" w:rsidR="00E2174D" w:rsidRPr="00592AAA" w:rsidRDefault="00E2174D" w:rsidP="00592AAA">
      <w:pPr>
        <w:jc w:val="both"/>
      </w:pPr>
      <w:r w:rsidRPr="00592AAA">
        <w:t>Le mode de computation de ce délai est décliné par nature de créances.</w:t>
      </w:r>
    </w:p>
    <w:p w14:paraId="66AF9ED7" w14:textId="77777777" w:rsidR="00E2174D" w:rsidRDefault="00E2174D" w:rsidP="00E2174D">
      <w:pPr>
        <w:autoSpaceDE w:val="0"/>
        <w:autoSpaceDN w:val="0"/>
        <w:adjustRightInd w:val="0"/>
        <w:spacing w:after="0" w:line="240" w:lineRule="auto"/>
        <w:rPr>
          <w:rFonts w:ascii="MarianneRegular" w:hAnsi="MarianneRegular" w:cs="MarianneRegular"/>
          <w:color w:val="000000"/>
          <w:kern w:val="0"/>
          <w:sz w:val="18"/>
          <w:szCs w:val="18"/>
        </w:rPr>
      </w:pPr>
    </w:p>
    <w:p w14:paraId="57E6AAD2" w14:textId="195F847C" w:rsidR="00E2174D" w:rsidRDefault="00E2174D" w:rsidP="00E2174D">
      <w:pPr>
        <w:autoSpaceDE w:val="0"/>
        <w:autoSpaceDN w:val="0"/>
        <w:adjustRightInd w:val="0"/>
        <w:spacing w:after="0" w:line="240" w:lineRule="auto"/>
        <w:rPr>
          <w:rFonts w:ascii="MarianneRegular" w:hAnsi="MarianneRegular" w:cs="MarianneRegular"/>
          <w:color w:val="000000"/>
          <w:kern w:val="0"/>
          <w:sz w:val="18"/>
          <w:szCs w:val="18"/>
        </w:rPr>
      </w:pPr>
      <w:r>
        <w:rPr>
          <w:noProof/>
        </w:rPr>
        <w:drawing>
          <wp:inline distT="0" distB="0" distL="0" distR="0" wp14:anchorId="006A5900" wp14:editId="2E0E9316">
            <wp:extent cx="5760720" cy="1576070"/>
            <wp:effectExtent l="0" t="0" r="0" b="5080"/>
            <wp:docPr id="1411437435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437435" name="Image 1" descr="Une image contenant texte, capture d’écran, Police, nombre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E461C" w14:textId="77777777" w:rsidR="00E2174D" w:rsidRPr="00592AAA" w:rsidRDefault="00E2174D" w:rsidP="00592AAA">
      <w:pPr>
        <w:jc w:val="both"/>
      </w:pPr>
    </w:p>
    <w:p w14:paraId="2F8ACDAB" w14:textId="13315B5F" w:rsidR="00E2174D" w:rsidRPr="00592AAA" w:rsidRDefault="00E2174D" w:rsidP="00592AAA">
      <w:pPr>
        <w:jc w:val="both"/>
      </w:pPr>
      <w:r w:rsidRPr="00592AAA">
        <w:t>L’agent comptable doit donc veiller à interrompre la prescription par un acte interruptif de prescription (mise</w:t>
      </w:r>
      <w:r w:rsidR="00592AAA">
        <w:t xml:space="preserve"> </w:t>
      </w:r>
      <w:r w:rsidRPr="00592AAA">
        <w:t xml:space="preserve">en demeure, mesure d’exécution forcée, </w:t>
      </w:r>
      <w:r w:rsidR="00592AAA" w:rsidRPr="00592AAA">
        <w:t>etc.…</w:t>
      </w:r>
      <w:r w:rsidRPr="00592AAA">
        <w:t>). Les causes interruptives de prescription sont les mêmes que pour</w:t>
      </w:r>
      <w:r w:rsidR="00592AAA">
        <w:t xml:space="preserve"> </w:t>
      </w:r>
      <w:r w:rsidRPr="00592AAA">
        <w:t>interrompre la prescription de l’assiette.</w:t>
      </w:r>
    </w:p>
    <w:p w14:paraId="4A19CB8D" w14:textId="77777777" w:rsidR="00E2174D" w:rsidRPr="00592AAA" w:rsidRDefault="00E2174D" w:rsidP="00592AAA">
      <w:pPr>
        <w:jc w:val="both"/>
      </w:pPr>
    </w:p>
    <w:p w14:paraId="16485A1C" w14:textId="77777777" w:rsidR="00E2174D" w:rsidRPr="00592AAA" w:rsidRDefault="00E2174D" w:rsidP="00592AAA">
      <w:pPr>
        <w:jc w:val="both"/>
      </w:pPr>
      <w:r w:rsidRPr="00592AAA">
        <w:t>La prescription relève de la responsabilité de l’ordonnateur. Ainsi, l'agent comptable peut, après avoir informé</w:t>
      </w:r>
    </w:p>
    <w:p w14:paraId="70B5AE59" w14:textId="77777777" w:rsidR="00E2174D" w:rsidRPr="00592AAA" w:rsidRDefault="00E2174D" w:rsidP="00592AAA">
      <w:pPr>
        <w:jc w:val="both"/>
      </w:pPr>
      <w:proofErr w:type="gramStart"/>
      <w:r w:rsidRPr="00592AAA">
        <w:t>l’ordonnateur</w:t>
      </w:r>
      <w:proofErr w:type="gramEnd"/>
      <w:r w:rsidRPr="00592AAA">
        <w:t xml:space="preserve"> de l’aléa que constitue la prescription de sa créance, engager le recouvrement selon les procédures</w:t>
      </w:r>
    </w:p>
    <w:p w14:paraId="04EE85CB" w14:textId="77777777" w:rsidR="00E2174D" w:rsidRPr="00592AAA" w:rsidRDefault="00E2174D" w:rsidP="00592AAA">
      <w:pPr>
        <w:jc w:val="both"/>
      </w:pPr>
      <w:proofErr w:type="gramStart"/>
      <w:r w:rsidRPr="00592AAA">
        <w:t>de</w:t>
      </w:r>
      <w:proofErr w:type="gramEnd"/>
      <w:r w:rsidRPr="00592AAA">
        <w:t xml:space="preserve"> droit commun. Il s’agit alors de la prescription d’assiette.</w:t>
      </w:r>
    </w:p>
    <w:p w14:paraId="4D8F8128" w14:textId="77777777" w:rsidR="00E2174D" w:rsidRPr="00592AAA" w:rsidRDefault="00E2174D" w:rsidP="00592AAA">
      <w:pPr>
        <w:jc w:val="both"/>
      </w:pPr>
      <w:r w:rsidRPr="00592AAA">
        <w:t>En revanche, si la prescription est opposée par le débiteur au comptable, ce dernier doit suspendre les</w:t>
      </w:r>
    </w:p>
    <w:p w14:paraId="155AAF27" w14:textId="77777777" w:rsidR="00E2174D" w:rsidRPr="00592AAA" w:rsidRDefault="00E2174D" w:rsidP="00592AAA">
      <w:pPr>
        <w:jc w:val="both"/>
      </w:pPr>
      <w:proofErr w:type="gramStart"/>
      <w:r w:rsidRPr="00592AAA">
        <w:t>opérations</w:t>
      </w:r>
      <w:proofErr w:type="gramEnd"/>
      <w:r w:rsidRPr="00592AAA">
        <w:t xml:space="preserve"> de recouvrement et solliciter de l’ordonnateur l’examen au fond de l’argument et, le cas échéant,</w:t>
      </w:r>
    </w:p>
    <w:p w14:paraId="2F0B1205" w14:textId="52FE39EB" w:rsidR="00E2174D" w:rsidRPr="00592AAA" w:rsidRDefault="00E2174D" w:rsidP="00592AAA">
      <w:pPr>
        <w:jc w:val="both"/>
      </w:pPr>
      <w:proofErr w:type="gramStart"/>
      <w:r w:rsidRPr="00592AAA">
        <w:t>préconiser</w:t>
      </w:r>
      <w:proofErr w:type="gramEnd"/>
      <w:r w:rsidRPr="00592AAA">
        <w:t xml:space="preserve"> l’annulation de l’ordre de recouvrer.</w:t>
      </w:r>
    </w:p>
    <w:p w14:paraId="7E33FD9F" w14:textId="77777777" w:rsidR="00E2174D" w:rsidRPr="00592AAA" w:rsidRDefault="00E2174D" w:rsidP="00592AAA">
      <w:pPr>
        <w:jc w:val="both"/>
      </w:pPr>
    </w:p>
    <w:p w14:paraId="2BF4D0AB" w14:textId="77777777" w:rsidR="00E2174D" w:rsidRPr="00592AAA" w:rsidRDefault="00E2174D" w:rsidP="00592AAA">
      <w:pPr>
        <w:jc w:val="both"/>
      </w:pPr>
    </w:p>
    <w:p w14:paraId="1A5708AD" w14:textId="65AC5841" w:rsidR="00E2174D" w:rsidRPr="00592AAA" w:rsidRDefault="00E2174D" w:rsidP="00592AA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92AAA">
        <w:rPr>
          <w:b/>
          <w:bCs/>
        </w:rPr>
        <w:t>A Noter :</w:t>
      </w:r>
    </w:p>
    <w:p w14:paraId="6E46DF42" w14:textId="36E6D264" w:rsidR="00E2174D" w:rsidRPr="00E2174D" w:rsidRDefault="00E2174D" w:rsidP="00592AAA">
      <w:pPr>
        <w:autoSpaceDE w:val="0"/>
        <w:autoSpaceDN w:val="0"/>
        <w:adjustRightInd w:val="0"/>
        <w:spacing w:after="0" w:line="240" w:lineRule="auto"/>
        <w:jc w:val="both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La prescription quadriennale ne peut être opposée pour faire échec à une décision de</w:t>
      </w:r>
      <w:r>
        <w:rPr>
          <w:rFonts w:ascii="Arial-BoldMT" w:hAnsi="Arial-BoldMT" w:cs="Arial-BoldMT"/>
          <w:b/>
          <w:bCs/>
        </w:rPr>
        <w:t xml:space="preserve"> </w:t>
      </w:r>
      <w:r>
        <w:rPr>
          <w:rFonts w:ascii="Arial-BoldMT" w:hAnsi="Arial-BoldMT" w:cs="Arial-BoldMT"/>
          <w:b/>
          <w:bCs/>
        </w:rPr>
        <w:t>Justic</w:t>
      </w:r>
      <w:r>
        <w:rPr>
          <w:rFonts w:ascii="Arial-BoldMT" w:hAnsi="Arial-BoldMT" w:cs="Arial-BoldMT"/>
          <w:b/>
          <w:bCs/>
        </w:rPr>
        <w:t>e (</w:t>
      </w:r>
      <w:r>
        <w:rPr>
          <w:rFonts w:ascii="Arial-ItalicMT" w:hAnsi="Arial-ItalicMT" w:cs="Arial-ItalicMT"/>
          <w:i/>
          <w:iCs/>
        </w:rPr>
        <w:t>CE, 12 février 2020, n°432598, B</w:t>
      </w:r>
      <w:r>
        <w:rPr>
          <w:rFonts w:ascii="Arial-ItalicMT" w:hAnsi="Arial-ItalicMT" w:cs="Arial-ItalicMT"/>
          <w:i/>
          <w:iCs/>
        </w:rPr>
        <w:t>)</w:t>
      </w:r>
    </w:p>
    <w:p w14:paraId="2FEFDC64" w14:textId="77777777" w:rsidR="00E2174D" w:rsidRDefault="00E2174D" w:rsidP="00592AAA">
      <w:pPr>
        <w:autoSpaceDE w:val="0"/>
        <w:autoSpaceDN w:val="0"/>
        <w:adjustRightInd w:val="0"/>
        <w:spacing w:after="0" w:line="240" w:lineRule="auto"/>
        <w:jc w:val="both"/>
        <w:rPr>
          <w:rFonts w:ascii="Arial-ItalicMT" w:hAnsi="Arial-ItalicMT" w:cs="Arial-ItalicMT"/>
          <w:i/>
          <w:iCs/>
        </w:rPr>
      </w:pPr>
    </w:p>
    <w:p w14:paraId="7097559B" w14:textId="1FC2B18C" w:rsidR="00E2174D" w:rsidRPr="00592AAA" w:rsidRDefault="00E2174D" w:rsidP="00592AAA">
      <w:pPr>
        <w:jc w:val="both"/>
      </w:pPr>
      <w:r w:rsidRPr="00592AAA">
        <w:t xml:space="preserve">Dans un contentieux, le requérant avait obtenu la mise à la charge de l’État d’une somme destinée à couvrir les frais inclus dans l’article L. 761-1 du code de justice administrative (frais de procédure). </w:t>
      </w:r>
    </w:p>
    <w:p w14:paraId="5EC6B865" w14:textId="0B220BF9" w:rsidR="00E2174D" w:rsidRPr="00592AAA" w:rsidRDefault="00E2174D" w:rsidP="00592AAA">
      <w:pPr>
        <w:jc w:val="both"/>
      </w:pPr>
      <w:r w:rsidRPr="00592AAA">
        <w:t xml:space="preserve">Cependant, malgré sa demande à l’ordonnateur et au comptable public assignataire, le requérant n’a pas obtenu le paiement qui lui était dû. </w:t>
      </w:r>
    </w:p>
    <w:p w14:paraId="03FF722B" w14:textId="34320734" w:rsidR="00E2174D" w:rsidRPr="00592AAA" w:rsidRDefault="00E2174D" w:rsidP="00592AAA">
      <w:pPr>
        <w:jc w:val="both"/>
      </w:pPr>
      <w:r w:rsidRPr="00592AAA">
        <w:t xml:space="preserve">Le ministre a invoqué la prescription quadriennale pour refuser, devant le juge, de procéder au paiement. </w:t>
      </w:r>
    </w:p>
    <w:p w14:paraId="10B389F7" w14:textId="7E4B351F" w:rsidR="00E2174D" w:rsidRPr="00592AAA" w:rsidRDefault="00E2174D" w:rsidP="00592AAA">
      <w:pPr>
        <w:jc w:val="both"/>
      </w:pPr>
      <w:r w:rsidRPr="00592AAA">
        <w:t xml:space="preserve">Le juge a rappelé que la prescription quadriennale, en aucun cas, ne peut être invoquée par l'administration pour s'opposer à l'exécution d'une décision passée en force de chose jugée. </w:t>
      </w:r>
    </w:p>
    <w:p w14:paraId="52C081E6" w14:textId="77777777" w:rsidR="00E2174D" w:rsidRDefault="00E2174D" w:rsidP="00592AAA">
      <w:pPr>
        <w:jc w:val="both"/>
      </w:pPr>
      <w:r w:rsidRPr="00592AAA">
        <w:t xml:space="preserve">Dès lors, faute d’avoir obtenu du comptable public assignataire le paiement de la somme que l’État était condamné à lui verser, </w:t>
      </w:r>
      <w:r w:rsidRPr="00592AAA">
        <w:rPr>
          <w:u w:val="single"/>
        </w:rPr>
        <w:t>le Conseil d’État a rejeté l’exception de prescription et enjoint à l’État de procéder au paiement assorti des pénalités de retard</w:t>
      </w:r>
      <w:r w:rsidRPr="00592AAA">
        <w:t>.</w:t>
      </w:r>
    </w:p>
    <w:p w14:paraId="1E8028DD" w14:textId="77777777" w:rsidR="00E2174D" w:rsidRPr="00592AAA" w:rsidRDefault="00E2174D" w:rsidP="00592AAA">
      <w:pPr>
        <w:jc w:val="both"/>
      </w:pPr>
    </w:p>
    <w:sectPr w:rsidR="00E2174D" w:rsidRPr="00592A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4454EA" w14:textId="77777777" w:rsidR="00970225" w:rsidRDefault="00970225" w:rsidP="002264C2">
      <w:pPr>
        <w:spacing w:after="0" w:line="240" w:lineRule="auto"/>
      </w:pPr>
      <w:r>
        <w:separator/>
      </w:r>
    </w:p>
  </w:endnote>
  <w:endnote w:type="continuationSeparator" w:id="0">
    <w:p w14:paraId="3F43804B" w14:textId="77777777" w:rsidR="00970225" w:rsidRDefault="00970225" w:rsidP="00226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rianne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DF204" w14:textId="77777777" w:rsidR="002264C2" w:rsidRDefault="002264C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9FD5A" w14:textId="459CD8ED" w:rsidR="002264C2" w:rsidRPr="002264C2" w:rsidRDefault="002264C2">
    <w:pPr>
      <w:pStyle w:val="Pieddepage"/>
      <w:rPr>
        <w:i/>
        <w:iCs/>
        <w:color w:val="808080" w:themeColor="background1" w:themeShade="80"/>
      </w:rPr>
    </w:pPr>
    <w:r w:rsidRPr="002264C2">
      <w:rPr>
        <w:i/>
        <w:iCs/>
        <w:color w:val="808080" w:themeColor="background1" w:themeShade="80"/>
      </w:rPr>
      <w:t xml:space="preserve">PRESCRIPTION Mis </w:t>
    </w:r>
    <w:proofErr w:type="spellStart"/>
    <w:r w:rsidRPr="002264C2">
      <w:rPr>
        <w:i/>
        <w:iCs/>
        <w:color w:val="808080" w:themeColor="background1" w:themeShade="80"/>
      </w:rPr>
      <w:t>a</w:t>
    </w:r>
    <w:proofErr w:type="spellEnd"/>
    <w:r w:rsidRPr="002264C2">
      <w:rPr>
        <w:i/>
        <w:iCs/>
        <w:color w:val="808080" w:themeColor="background1" w:themeShade="80"/>
      </w:rPr>
      <w:t xml:space="preserve"> jour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C1589" w14:textId="77777777" w:rsidR="002264C2" w:rsidRDefault="002264C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27ED14" w14:textId="77777777" w:rsidR="00970225" w:rsidRDefault="00970225" w:rsidP="002264C2">
      <w:pPr>
        <w:spacing w:after="0" w:line="240" w:lineRule="auto"/>
      </w:pPr>
      <w:r>
        <w:separator/>
      </w:r>
    </w:p>
  </w:footnote>
  <w:footnote w:type="continuationSeparator" w:id="0">
    <w:p w14:paraId="2809DFA7" w14:textId="77777777" w:rsidR="00970225" w:rsidRDefault="00970225" w:rsidP="00226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8F38A" w14:textId="77777777" w:rsidR="002264C2" w:rsidRDefault="002264C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879C0" w14:textId="77777777" w:rsidR="002264C2" w:rsidRDefault="002264C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4399B9" w14:textId="77777777" w:rsidR="002264C2" w:rsidRDefault="002264C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74D"/>
    <w:rsid w:val="002264C2"/>
    <w:rsid w:val="00306E20"/>
    <w:rsid w:val="00592AAA"/>
    <w:rsid w:val="008522D2"/>
    <w:rsid w:val="00970225"/>
    <w:rsid w:val="00AF7E60"/>
    <w:rsid w:val="00BD434F"/>
    <w:rsid w:val="00E2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8C936"/>
  <w15:chartTrackingRefBased/>
  <w15:docId w15:val="{3CCC466D-5B53-4300-9358-A18F27FF0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1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1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17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1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17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1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1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1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1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17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17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17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174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174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174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174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174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174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1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1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1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1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1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174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174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174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1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174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174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26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64C2"/>
  </w:style>
  <w:style w:type="paragraph" w:styleId="Pieddepage">
    <w:name w:val="footer"/>
    <w:basedOn w:val="Normal"/>
    <w:link w:val="PieddepageCar"/>
    <w:uiPriority w:val="99"/>
    <w:unhideWhenUsed/>
    <w:rsid w:val="00226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6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78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791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GRAND PORT MARITIME DE MARSEILLE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2024-10-10T13:27:00Z</dcterms:created>
  <dcterms:modified xsi:type="dcterms:W3CDTF">2024-10-10T14:08:00Z</dcterms:modified>
</cp:coreProperties>
</file>