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437022" w14:textId="52FF695D" w:rsidR="00BD434F" w:rsidRPr="00D938AA" w:rsidRDefault="00D938AA" w:rsidP="00D938AA">
      <w:pPr>
        <w:jc w:val="center"/>
        <w:rPr>
          <w:b/>
          <w:bCs/>
          <w:color w:val="7030A0"/>
        </w:rPr>
      </w:pPr>
      <w:r w:rsidRPr="00D938AA">
        <w:rPr>
          <w:b/>
          <w:bCs/>
          <w:color w:val="7030A0"/>
        </w:rPr>
        <w:t>LANGUE des JUSTIFICATIFS PRODUITS AU COMPTABLE</w:t>
      </w:r>
    </w:p>
    <w:p w14:paraId="0A47D450" w14:textId="77777777" w:rsidR="00D938AA" w:rsidRDefault="00D938AA" w:rsidP="00D938AA">
      <w:pPr>
        <w:jc w:val="both"/>
      </w:pPr>
    </w:p>
    <w:p w14:paraId="260720C9" w14:textId="77777777" w:rsidR="00D938AA" w:rsidRDefault="00D938AA" w:rsidP="00D938AA">
      <w:pPr>
        <w:jc w:val="both"/>
      </w:pPr>
      <w:r>
        <w:t>Le règlement CE n°1/1958 du 15 avril 1958 fixe le régime linguistique et définit les langues officielles et de travail dans les institutions européennes</w:t>
      </w:r>
    </w:p>
    <w:p w14:paraId="5542CA97" w14:textId="77777777" w:rsidR="00D938AA" w:rsidRDefault="00D938AA" w:rsidP="00D938AA">
      <w:pPr>
        <w:jc w:val="both"/>
      </w:pPr>
      <w:r>
        <w:t>En tant qu’entité démocratique, l’Union européenne se doit de communiquer dans la langue des citoyens des 28 pays membres. Ces citoyens, de même que les gouvernements nationaux, les administrations publiques, les entreprises et autres organisations doivent pouvoir comprendre les actes législatifs qui s’appliquent à eux et s’adresser aux institutions dans leur langue.</w:t>
      </w:r>
    </w:p>
    <w:p w14:paraId="2B3E583A" w14:textId="3A21F123" w:rsidR="00D938AA" w:rsidRDefault="00D938AA" w:rsidP="00D938AA">
      <w:pPr>
        <w:jc w:val="both"/>
      </w:pPr>
      <w:r>
        <w:t>Le statut de langue officielle et de travail entraîne deux droits majeurs :</w:t>
      </w:r>
    </w:p>
    <w:p w14:paraId="11CB7F8A" w14:textId="144E63F4" w:rsidR="00D938AA" w:rsidRDefault="00D938AA" w:rsidP="00D938AA">
      <w:pPr>
        <w:pStyle w:val="Paragraphedeliste"/>
        <w:numPr>
          <w:ilvl w:val="0"/>
          <w:numId w:val="1"/>
        </w:numPr>
        <w:jc w:val="both"/>
      </w:pPr>
      <w:r>
        <w:t>Les documents rédigés dans une de ces langues peuvent être envoyés aux institutions européennes et recevoir une réponse dans cette langue ;</w:t>
      </w:r>
    </w:p>
    <w:p w14:paraId="6A4E04FA" w14:textId="77777777" w:rsidR="00D938AA" w:rsidRDefault="00D938AA" w:rsidP="00D938AA">
      <w:pPr>
        <w:pStyle w:val="Paragraphedeliste"/>
        <w:numPr>
          <w:ilvl w:val="0"/>
          <w:numId w:val="1"/>
        </w:numPr>
        <w:jc w:val="both"/>
      </w:pPr>
      <w:r>
        <w:t>Les règlements de l’UE, les textes de portée générale et le Journal officiel de l’Union européenne doivent être publiés dans toutes les langues officielles.</w:t>
      </w:r>
    </w:p>
    <w:p w14:paraId="04340E86" w14:textId="77777777" w:rsidR="00D938AA" w:rsidRDefault="00D938AA" w:rsidP="00D938AA">
      <w:pPr>
        <w:ind w:left="360"/>
        <w:jc w:val="both"/>
      </w:pPr>
    </w:p>
    <w:p w14:paraId="53720592" w14:textId="57194C3B" w:rsidR="00D938AA" w:rsidRDefault="00D938AA" w:rsidP="00D938AA">
      <w:pPr>
        <w:jc w:val="both"/>
      </w:pPr>
      <w:r w:rsidRPr="00D938AA">
        <w:rPr>
          <w:rFonts w:ascii="Arial" w:hAnsi="Arial" w:cs="Arial"/>
          <w:b/>
          <w:bCs/>
          <w:color w:val="4A5E81"/>
          <w:sz w:val="27"/>
          <w:szCs w:val="27"/>
          <w:shd w:val="clear" w:color="auto" w:fill="FFFFFF"/>
        </w:rPr>
        <w:t>Article 2 de la Constitution : art</w:t>
      </w:r>
      <w:r w:rsidRPr="00D938AA">
        <w:rPr>
          <w:rFonts w:ascii="Arial" w:hAnsi="Arial" w:cs="Arial"/>
          <w:b/>
          <w:bCs/>
          <w:color w:val="4A5E81"/>
          <w:sz w:val="27"/>
          <w:szCs w:val="27"/>
          <w:shd w:val="clear" w:color="auto" w:fill="FFFFFF"/>
        </w:rPr>
        <w:t>icle</w:t>
      </w:r>
      <w:r w:rsidRPr="00D938AA">
        <w:rPr>
          <w:rFonts w:ascii="Arial" w:hAnsi="Arial" w:cs="Arial"/>
          <w:b/>
          <w:bCs/>
          <w:color w:val="4A5E81"/>
          <w:sz w:val="27"/>
          <w:szCs w:val="27"/>
          <w:shd w:val="clear" w:color="auto" w:fill="FFFFFF"/>
        </w:rPr>
        <w:t xml:space="preserve"> 8</w:t>
      </w:r>
      <w:r>
        <w:t> : La langue de la République est le français.</w:t>
      </w:r>
    </w:p>
    <w:p w14:paraId="64F477AE" w14:textId="315E9EFE" w:rsidR="00D938AA" w:rsidRPr="00D938AA" w:rsidRDefault="00D938AA" w:rsidP="00D938AA">
      <w:pPr>
        <w:jc w:val="both"/>
        <w:rPr>
          <w:rFonts w:ascii="Arial" w:hAnsi="Arial" w:cs="Arial"/>
          <w:b/>
          <w:bCs/>
          <w:color w:val="4A5E81"/>
          <w:sz w:val="27"/>
          <w:szCs w:val="27"/>
          <w:shd w:val="clear" w:color="auto" w:fill="FFFFFF"/>
        </w:rPr>
      </w:pPr>
      <w:r>
        <w:rPr>
          <w:rFonts w:ascii="Arial" w:hAnsi="Arial" w:cs="Arial"/>
          <w:b/>
          <w:bCs/>
          <w:color w:val="4A5E81"/>
          <w:sz w:val="27"/>
          <w:szCs w:val="27"/>
          <w:shd w:val="clear" w:color="auto" w:fill="FFFFFF"/>
        </w:rPr>
        <w:t>Loi n° 94-665 du 4 août 1994 relative à l'emploi de la langue française</w:t>
      </w:r>
      <w:r>
        <w:rPr>
          <w:rFonts w:ascii="Arial" w:hAnsi="Arial" w:cs="Arial"/>
          <w:b/>
          <w:bCs/>
          <w:color w:val="4A5E81"/>
          <w:sz w:val="27"/>
          <w:szCs w:val="27"/>
          <w:shd w:val="clear" w:color="auto" w:fill="FFFFFF"/>
        </w:rPr>
        <w:t xml:space="preserve"> </w:t>
      </w:r>
      <w:r w:rsidRPr="00D938AA">
        <w:rPr>
          <w:rFonts w:ascii="Arial" w:hAnsi="Arial" w:cs="Arial"/>
          <w:b/>
          <w:bCs/>
          <w:color w:val="4A5E81"/>
          <w:sz w:val="27"/>
          <w:szCs w:val="27"/>
          <w:shd w:val="clear" w:color="auto" w:fill="FFFFFF"/>
        </w:rPr>
        <w:t xml:space="preserve">dite </w:t>
      </w:r>
      <w:r w:rsidRPr="00D938AA">
        <w:rPr>
          <w:rFonts w:ascii="Arial" w:hAnsi="Arial" w:cs="Arial"/>
          <w:b/>
          <w:bCs/>
          <w:color w:val="4A5E81"/>
          <w:sz w:val="27"/>
          <w:szCs w:val="27"/>
          <w:shd w:val="clear" w:color="auto" w:fill="FFFFFF"/>
        </w:rPr>
        <w:t xml:space="preserve">Loi </w:t>
      </w:r>
      <w:proofErr w:type="gramStart"/>
      <w:r w:rsidRPr="00D938AA">
        <w:rPr>
          <w:rFonts w:ascii="Arial" w:hAnsi="Arial" w:cs="Arial"/>
          <w:b/>
          <w:bCs/>
          <w:color w:val="4A5E81"/>
          <w:sz w:val="27"/>
          <w:szCs w:val="27"/>
          <w:shd w:val="clear" w:color="auto" w:fill="FFFFFF"/>
        </w:rPr>
        <w:t xml:space="preserve">TOUBON </w:t>
      </w:r>
      <w:r>
        <w:rPr>
          <w:rFonts w:ascii="Arial" w:hAnsi="Arial" w:cs="Arial"/>
          <w:b/>
          <w:bCs/>
          <w:color w:val="4A5E81"/>
          <w:sz w:val="27"/>
          <w:szCs w:val="27"/>
          <w:shd w:val="clear" w:color="auto" w:fill="FFFFFF"/>
        </w:rPr>
        <w:t xml:space="preserve"> (</w:t>
      </w:r>
      <w:proofErr w:type="gramEnd"/>
      <w:r w:rsidRPr="00D938AA">
        <w:rPr>
          <w:rFonts w:ascii="Arial" w:hAnsi="Arial" w:cs="Arial"/>
          <w:b/>
          <w:bCs/>
          <w:color w:val="4A5E81"/>
          <w:sz w:val="27"/>
          <w:szCs w:val="27"/>
          <w:shd w:val="clear" w:color="auto" w:fill="FFFFFF"/>
        </w:rPr>
        <w:t>art</w:t>
      </w:r>
      <w:r>
        <w:rPr>
          <w:rFonts w:ascii="Arial" w:hAnsi="Arial" w:cs="Arial"/>
          <w:b/>
          <w:bCs/>
          <w:color w:val="4A5E81"/>
          <w:sz w:val="27"/>
          <w:szCs w:val="27"/>
          <w:shd w:val="clear" w:color="auto" w:fill="FFFFFF"/>
        </w:rPr>
        <w:t>icles 1 à</w:t>
      </w:r>
      <w:r w:rsidRPr="00D938AA">
        <w:rPr>
          <w:rFonts w:ascii="Arial" w:hAnsi="Arial" w:cs="Arial"/>
          <w:b/>
          <w:bCs/>
          <w:color w:val="4A5E81"/>
          <w:sz w:val="27"/>
          <w:szCs w:val="27"/>
          <w:shd w:val="clear" w:color="auto" w:fill="FFFFFF"/>
        </w:rPr>
        <w:t xml:space="preserve"> 5</w:t>
      </w:r>
      <w:r>
        <w:rPr>
          <w:rFonts w:ascii="Arial" w:hAnsi="Arial" w:cs="Arial"/>
          <w:b/>
          <w:bCs/>
          <w:color w:val="4A5E81"/>
          <w:sz w:val="27"/>
          <w:szCs w:val="27"/>
          <w:shd w:val="clear" w:color="auto" w:fill="FFFFFF"/>
        </w:rPr>
        <w:t xml:space="preserve">) : </w:t>
      </w:r>
    </w:p>
    <w:p w14:paraId="64BABDBC" w14:textId="31C527F2" w:rsidR="00D938AA" w:rsidRDefault="00D938AA" w:rsidP="00D938AA">
      <w:pPr>
        <w:jc w:val="both"/>
      </w:pPr>
      <w:hyperlink r:id="rId7" w:history="1">
        <w:r w:rsidRPr="00E3272F">
          <w:rPr>
            <w:rStyle w:val="Lienhypertexte"/>
          </w:rPr>
          <w:t>https://www.legifra</w:t>
        </w:r>
        <w:r w:rsidRPr="00E3272F">
          <w:rPr>
            <w:rStyle w:val="Lienhypertexte"/>
          </w:rPr>
          <w:t>n</w:t>
        </w:r>
        <w:r w:rsidRPr="00E3272F">
          <w:rPr>
            <w:rStyle w:val="Lienhypertexte"/>
          </w:rPr>
          <w:t>ce.gouv.fr/loda/id/LEGITEXT000005616341</w:t>
        </w:r>
      </w:hyperlink>
    </w:p>
    <w:p w14:paraId="65B24651" w14:textId="5230B07F" w:rsidR="00D938AA" w:rsidRDefault="00D938AA" w:rsidP="00D938AA">
      <w:pPr>
        <w:jc w:val="both"/>
      </w:pPr>
      <w:r>
        <w:rPr>
          <w:noProof/>
        </w:rPr>
        <w:drawing>
          <wp:inline distT="0" distB="0" distL="0" distR="0" wp14:anchorId="30EFE070" wp14:editId="59C1188B">
            <wp:extent cx="6012000" cy="2437200"/>
            <wp:effectExtent l="0" t="0" r="8255" b="1270"/>
            <wp:docPr id="4564340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434059" name=""/>
                    <pic:cNvPicPr/>
                  </pic:nvPicPr>
                  <pic:blipFill>
                    <a:blip r:embed="rId8"/>
                    <a:stretch>
                      <a:fillRect/>
                    </a:stretch>
                  </pic:blipFill>
                  <pic:spPr>
                    <a:xfrm>
                      <a:off x="0" y="0"/>
                      <a:ext cx="6012000" cy="2437200"/>
                    </a:xfrm>
                    <a:prstGeom prst="rect">
                      <a:avLst/>
                    </a:prstGeom>
                  </pic:spPr>
                </pic:pic>
              </a:graphicData>
            </a:graphic>
          </wp:inline>
        </w:drawing>
      </w:r>
    </w:p>
    <w:p w14:paraId="5C3A0BFD" w14:textId="4B557795" w:rsidR="00D938AA" w:rsidRDefault="00D938AA" w:rsidP="00D938AA">
      <w:pPr>
        <w:jc w:val="both"/>
      </w:pPr>
      <w:r>
        <w:rPr>
          <w:noProof/>
        </w:rPr>
        <w:drawing>
          <wp:inline distT="0" distB="0" distL="0" distR="0" wp14:anchorId="28D975DB" wp14:editId="12B8D387">
            <wp:extent cx="5760720" cy="1051560"/>
            <wp:effectExtent l="0" t="0" r="0" b="0"/>
            <wp:docPr id="988391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39145" name=""/>
                    <pic:cNvPicPr/>
                  </pic:nvPicPr>
                  <pic:blipFill>
                    <a:blip r:embed="rId9"/>
                    <a:stretch>
                      <a:fillRect/>
                    </a:stretch>
                  </pic:blipFill>
                  <pic:spPr>
                    <a:xfrm>
                      <a:off x="0" y="0"/>
                      <a:ext cx="5760720" cy="1051560"/>
                    </a:xfrm>
                    <a:prstGeom prst="rect">
                      <a:avLst/>
                    </a:prstGeom>
                  </pic:spPr>
                </pic:pic>
              </a:graphicData>
            </a:graphic>
          </wp:inline>
        </w:drawing>
      </w:r>
    </w:p>
    <w:p w14:paraId="06D28D09" w14:textId="1E56C401" w:rsidR="00D938AA" w:rsidRDefault="00D938AA" w:rsidP="00D938AA">
      <w:pPr>
        <w:jc w:val="both"/>
      </w:pPr>
      <w:r>
        <w:rPr>
          <w:noProof/>
        </w:rPr>
        <w:lastRenderedPageBreak/>
        <w:drawing>
          <wp:inline distT="0" distB="0" distL="0" distR="0" wp14:anchorId="01AA0A52" wp14:editId="63A1DAE4">
            <wp:extent cx="5760720" cy="1165860"/>
            <wp:effectExtent l="0" t="0" r="0" b="0"/>
            <wp:docPr id="19484205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420576" name=""/>
                    <pic:cNvPicPr/>
                  </pic:nvPicPr>
                  <pic:blipFill>
                    <a:blip r:embed="rId10"/>
                    <a:stretch>
                      <a:fillRect/>
                    </a:stretch>
                  </pic:blipFill>
                  <pic:spPr>
                    <a:xfrm>
                      <a:off x="0" y="0"/>
                      <a:ext cx="5760720" cy="1165860"/>
                    </a:xfrm>
                    <a:prstGeom prst="rect">
                      <a:avLst/>
                    </a:prstGeom>
                  </pic:spPr>
                </pic:pic>
              </a:graphicData>
            </a:graphic>
          </wp:inline>
        </w:drawing>
      </w:r>
    </w:p>
    <w:p w14:paraId="53B0D19A" w14:textId="2A6C6CCC" w:rsidR="00D938AA" w:rsidRDefault="00D938AA" w:rsidP="00D938AA">
      <w:pPr>
        <w:jc w:val="both"/>
      </w:pPr>
      <w:r>
        <w:rPr>
          <w:noProof/>
        </w:rPr>
        <w:drawing>
          <wp:inline distT="0" distB="0" distL="0" distR="0" wp14:anchorId="1C9688C8" wp14:editId="1622CE7E">
            <wp:extent cx="5760720" cy="1686560"/>
            <wp:effectExtent l="0" t="0" r="0" b="8890"/>
            <wp:docPr id="122237991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379911" name=""/>
                    <pic:cNvPicPr/>
                  </pic:nvPicPr>
                  <pic:blipFill>
                    <a:blip r:embed="rId11"/>
                    <a:stretch>
                      <a:fillRect/>
                    </a:stretch>
                  </pic:blipFill>
                  <pic:spPr>
                    <a:xfrm>
                      <a:off x="0" y="0"/>
                      <a:ext cx="5760720" cy="1686560"/>
                    </a:xfrm>
                    <a:prstGeom prst="rect">
                      <a:avLst/>
                    </a:prstGeom>
                  </pic:spPr>
                </pic:pic>
              </a:graphicData>
            </a:graphic>
          </wp:inline>
        </w:drawing>
      </w:r>
    </w:p>
    <w:p w14:paraId="70FEB691" w14:textId="77777777" w:rsidR="00D938AA" w:rsidRDefault="00D938AA" w:rsidP="00D938AA">
      <w:pPr>
        <w:jc w:val="both"/>
      </w:pPr>
    </w:p>
    <w:p w14:paraId="011567B6" w14:textId="77777777" w:rsidR="00D938AA" w:rsidRDefault="00D938AA" w:rsidP="00D938AA">
      <w:pPr>
        <w:jc w:val="both"/>
      </w:pPr>
    </w:p>
    <w:sectPr w:rsidR="00D938AA">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EACE6" w14:textId="77777777" w:rsidR="006B2CCE" w:rsidRDefault="006B2CCE" w:rsidP="00F97BC1">
      <w:pPr>
        <w:spacing w:after="0" w:line="240" w:lineRule="auto"/>
      </w:pPr>
      <w:r>
        <w:separator/>
      </w:r>
    </w:p>
  </w:endnote>
  <w:endnote w:type="continuationSeparator" w:id="0">
    <w:p w14:paraId="6F1A46F8" w14:textId="77777777" w:rsidR="006B2CCE" w:rsidRDefault="006B2CCE" w:rsidP="00F97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F7A5B" w14:textId="77777777" w:rsidR="00F97BC1" w:rsidRDefault="00F97BC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B213E7" w14:textId="21B1AAF3" w:rsidR="00F97BC1" w:rsidRPr="00F97BC1" w:rsidRDefault="00F97BC1">
    <w:pPr>
      <w:pStyle w:val="Pieddepage"/>
      <w:rPr>
        <w:i/>
        <w:iCs/>
        <w:color w:val="808080" w:themeColor="background1" w:themeShade="80"/>
      </w:rPr>
    </w:pPr>
    <w:r w:rsidRPr="00F97BC1">
      <w:rPr>
        <w:i/>
        <w:iCs/>
        <w:color w:val="808080" w:themeColor="background1" w:themeShade="80"/>
      </w:rPr>
      <w:t>Langue des contrats Mise à jour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2F599" w14:textId="77777777" w:rsidR="00F97BC1" w:rsidRDefault="00F97BC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C9534" w14:textId="77777777" w:rsidR="006B2CCE" w:rsidRDefault="006B2CCE" w:rsidP="00F97BC1">
      <w:pPr>
        <w:spacing w:after="0" w:line="240" w:lineRule="auto"/>
      </w:pPr>
      <w:r>
        <w:separator/>
      </w:r>
    </w:p>
  </w:footnote>
  <w:footnote w:type="continuationSeparator" w:id="0">
    <w:p w14:paraId="4061E7FA" w14:textId="77777777" w:rsidR="006B2CCE" w:rsidRDefault="006B2CCE" w:rsidP="00F97B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D13345" w14:textId="77777777" w:rsidR="00F97BC1" w:rsidRDefault="00F97BC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87683" w14:textId="77777777" w:rsidR="00F97BC1" w:rsidRDefault="00F97BC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CEA05" w14:textId="77777777" w:rsidR="00F97BC1" w:rsidRDefault="00F97BC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674A45"/>
    <w:multiLevelType w:val="hybridMultilevel"/>
    <w:tmpl w:val="047C6FAA"/>
    <w:lvl w:ilvl="0" w:tplc="CEE4BC22">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6053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8AA"/>
    <w:rsid w:val="00306E20"/>
    <w:rsid w:val="006B2CCE"/>
    <w:rsid w:val="008522D2"/>
    <w:rsid w:val="00AF7E60"/>
    <w:rsid w:val="00BD434F"/>
    <w:rsid w:val="00D938AA"/>
    <w:rsid w:val="00F97B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B674"/>
  <w15:chartTrackingRefBased/>
  <w15:docId w15:val="{E942C104-E96D-4B08-A92A-D87DA2ECA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93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93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938A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938A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938A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938A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938A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938A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938A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938A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938A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938A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938A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938A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938A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938A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938A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938AA"/>
    <w:rPr>
      <w:rFonts w:eastAsiaTheme="majorEastAsia" w:cstheme="majorBidi"/>
      <w:color w:val="272727" w:themeColor="text1" w:themeTint="D8"/>
    </w:rPr>
  </w:style>
  <w:style w:type="paragraph" w:styleId="Titre">
    <w:name w:val="Title"/>
    <w:basedOn w:val="Normal"/>
    <w:next w:val="Normal"/>
    <w:link w:val="TitreCar"/>
    <w:uiPriority w:val="10"/>
    <w:qFormat/>
    <w:rsid w:val="00D93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938A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938A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938A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938AA"/>
    <w:pPr>
      <w:spacing w:before="160"/>
      <w:jc w:val="center"/>
    </w:pPr>
    <w:rPr>
      <w:i/>
      <w:iCs/>
      <w:color w:val="404040" w:themeColor="text1" w:themeTint="BF"/>
    </w:rPr>
  </w:style>
  <w:style w:type="character" w:customStyle="1" w:styleId="CitationCar">
    <w:name w:val="Citation Car"/>
    <w:basedOn w:val="Policepardfaut"/>
    <w:link w:val="Citation"/>
    <w:uiPriority w:val="29"/>
    <w:rsid w:val="00D938AA"/>
    <w:rPr>
      <w:i/>
      <w:iCs/>
      <w:color w:val="404040" w:themeColor="text1" w:themeTint="BF"/>
    </w:rPr>
  </w:style>
  <w:style w:type="paragraph" w:styleId="Paragraphedeliste">
    <w:name w:val="List Paragraph"/>
    <w:basedOn w:val="Normal"/>
    <w:uiPriority w:val="34"/>
    <w:qFormat/>
    <w:rsid w:val="00D938AA"/>
    <w:pPr>
      <w:ind w:left="720"/>
      <w:contextualSpacing/>
    </w:pPr>
  </w:style>
  <w:style w:type="character" w:styleId="Accentuationintense">
    <w:name w:val="Intense Emphasis"/>
    <w:basedOn w:val="Policepardfaut"/>
    <w:uiPriority w:val="21"/>
    <w:qFormat/>
    <w:rsid w:val="00D938AA"/>
    <w:rPr>
      <w:i/>
      <w:iCs/>
      <w:color w:val="0F4761" w:themeColor="accent1" w:themeShade="BF"/>
    </w:rPr>
  </w:style>
  <w:style w:type="paragraph" w:styleId="Citationintense">
    <w:name w:val="Intense Quote"/>
    <w:basedOn w:val="Normal"/>
    <w:next w:val="Normal"/>
    <w:link w:val="CitationintenseCar"/>
    <w:uiPriority w:val="30"/>
    <w:qFormat/>
    <w:rsid w:val="00D93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938AA"/>
    <w:rPr>
      <w:i/>
      <w:iCs/>
      <w:color w:val="0F4761" w:themeColor="accent1" w:themeShade="BF"/>
    </w:rPr>
  </w:style>
  <w:style w:type="character" w:styleId="Rfrenceintense">
    <w:name w:val="Intense Reference"/>
    <w:basedOn w:val="Policepardfaut"/>
    <w:uiPriority w:val="32"/>
    <w:qFormat/>
    <w:rsid w:val="00D938AA"/>
    <w:rPr>
      <w:b/>
      <w:bCs/>
      <w:smallCaps/>
      <w:color w:val="0F4761" w:themeColor="accent1" w:themeShade="BF"/>
      <w:spacing w:val="5"/>
    </w:rPr>
  </w:style>
  <w:style w:type="paragraph" w:styleId="Textebrut">
    <w:name w:val="Plain Text"/>
    <w:basedOn w:val="Normal"/>
    <w:link w:val="TextebrutCar"/>
    <w:uiPriority w:val="99"/>
    <w:semiHidden/>
    <w:unhideWhenUsed/>
    <w:rsid w:val="00D938AA"/>
    <w:pPr>
      <w:spacing w:after="0" w:line="240" w:lineRule="auto"/>
    </w:pPr>
    <w:rPr>
      <w:rFonts w:ascii="Calibri" w:hAnsi="Calibri"/>
      <w:kern w:val="0"/>
      <w:sz w:val="22"/>
      <w:szCs w:val="21"/>
      <w14:ligatures w14:val="none"/>
    </w:rPr>
  </w:style>
  <w:style w:type="character" w:customStyle="1" w:styleId="TextebrutCar">
    <w:name w:val="Texte brut Car"/>
    <w:basedOn w:val="Policepardfaut"/>
    <w:link w:val="Textebrut"/>
    <w:uiPriority w:val="99"/>
    <w:semiHidden/>
    <w:rsid w:val="00D938AA"/>
    <w:rPr>
      <w:rFonts w:ascii="Calibri" w:hAnsi="Calibri"/>
      <w:kern w:val="0"/>
      <w:sz w:val="22"/>
      <w:szCs w:val="21"/>
      <w14:ligatures w14:val="none"/>
    </w:rPr>
  </w:style>
  <w:style w:type="character" w:styleId="Lienhypertexte">
    <w:name w:val="Hyperlink"/>
    <w:basedOn w:val="Policepardfaut"/>
    <w:uiPriority w:val="99"/>
    <w:unhideWhenUsed/>
    <w:rsid w:val="00D938AA"/>
    <w:rPr>
      <w:color w:val="0563C1"/>
      <w:u w:val="single"/>
    </w:rPr>
  </w:style>
  <w:style w:type="character" w:styleId="Lienhypertextesuivivisit">
    <w:name w:val="FollowedHyperlink"/>
    <w:basedOn w:val="Policepardfaut"/>
    <w:uiPriority w:val="99"/>
    <w:semiHidden/>
    <w:unhideWhenUsed/>
    <w:rsid w:val="00D938AA"/>
    <w:rPr>
      <w:color w:val="96607D" w:themeColor="followedHyperlink"/>
      <w:u w:val="single"/>
    </w:rPr>
  </w:style>
  <w:style w:type="character" w:styleId="Mentionnonrsolue">
    <w:name w:val="Unresolved Mention"/>
    <w:basedOn w:val="Policepardfaut"/>
    <w:uiPriority w:val="99"/>
    <w:semiHidden/>
    <w:unhideWhenUsed/>
    <w:rsid w:val="00D938AA"/>
    <w:rPr>
      <w:color w:val="605E5C"/>
      <w:shd w:val="clear" w:color="auto" w:fill="E1DFDD"/>
    </w:rPr>
  </w:style>
  <w:style w:type="paragraph" w:styleId="En-tte">
    <w:name w:val="header"/>
    <w:basedOn w:val="Normal"/>
    <w:link w:val="En-tteCar"/>
    <w:uiPriority w:val="99"/>
    <w:unhideWhenUsed/>
    <w:rsid w:val="00F97BC1"/>
    <w:pPr>
      <w:tabs>
        <w:tab w:val="center" w:pos="4536"/>
        <w:tab w:val="right" w:pos="9072"/>
      </w:tabs>
      <w:spacing w:after="0" w:line="240" w:lineRule="auto"/>
    </w:pPr>
  </w:style>
  <w:style w:type="character" w:customStyle="1" w:styleId="En-tteCar">
    <w:name w:val="En-tête Car"/>
    <w:basedOn w:val="Policepardfaut"/>
    <w:link w:val="En-tte"/>
    <w:uiPriority w:val="99"/>
    <w:rsid w:val="00F97BC1"/>
  </w:style>
  <w:style w:type="paragraph" w:styleId="Pieddepage">
    <w:name w:val="footer"/>
    <w:basedOn w:val="Normal"/>
    <w:link w:val="PieddepageCar"/>
    <w:uiPriority w:val="99"/>
    <w:unhideWhenUsed/>
    <w:rsid w:val="00F97BC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97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796515">
      <w:bodyDiv w:val="1"/>
      <w:marLeft w:val="0"/>
      <w:marRight w:val="0"/>
      <w:marTop w:val="0"/>
      <w:marBottom w:val="0"/>
      <w:divBdr>
        <w:top w:val="none" w:sz="0" w:space="0" w:color="auto"/>
        <w:left w:val="none" w:sz="0" w:space="0" w:color="auto"/>
        <w:bottom w:val="none" w:sz="0" w:space="0" w:color="auto"/>
        <w:right w:val="none" w:sz="0" w:space="0" w:color="auto"/>
      </w:divBdr>
    </w:div>
    <w:div w:id="168146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id/LEGITEXT000005616341"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197</Words>
  <Characters>1088</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GRAND PORT MARITIME DE MARSEILLE</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Caillibotte Sylvie</dc:creator>
  <cp:keywords/>
  <dc:description/>
  <cp:lastModifiedBy>Caillibotte Sylvie</cp:lastModifiedBy>
  <cp:revision>1</cp:revision>
  <dcterms:created xsi:type="dcterms:W3CDTF">2024-10-10T14:28:00Z</dcterms:created>
  <dcterms:modified xsi:type="dcterms:W3CDTF">2024-10-10T14:40:00Z</dcterms:modified>
</cp:coreProperties>
</file>