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AD43CC" w14:textId="1A6FBFFE" w:rsidR="00BD434F" w:rsidRPr="00C8528A" w:rsidRDefault="00C8528A" w:rsidP="00C8528A">
      <w:pPr>
        <w:jc w:val="center"/>
        <w:rPr>
          <w:b/>
          <w:bCs/>
          <w:color w:val="7030A0"/>
        </w:rPr>
      </w:pPr>
      <w:r w:rsidRPr="00C8528A">
        <w:rPr>
          <w:b/>
          <w:bCs/>
          <w:color w:val="7030A0"/>
        </w:rPr>
        <w:t>CARTE ACHAT</w:t>
      </w:r>
    </w:p>
    <w:p w14:paraId="5E8AD5F1" w14:textId="5D0B7F27" w:rsidR="00C8528A" w:rsidRDefault="00C8528A">
      <w:r>
        <w:rPr>
          <w:noProof/>
        </w:rPr>
        <w:drawing>
          <wp:inline distT="0" distB="0" distL="0" distR="0" wp14:anchorId="1D19D1F0" wp14:editId="720EC8BE">
            <wp:extent cx="6127433" cy="4952198"/>
            <wp:effectExtent l="0" t="0" r="6985" b="1270"/>
            <wp:docPr id="89582040" name="Image 1" descr="Une image contenant texte, capture d’écran, Police, documen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82040" name="Image 1" descr="Une image contenant texte, capture d’écran, Police, document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0433" cy="497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9C31F" w14:textId="72F098A3" w:rsidR="00C8528A" w:rsidRPr="0012036D" w:rsidRDefault="00C8528A">
      <w:pPr>
        <w:rPr>
          <w:i/>
          <w:iCs/>
          <w:color w:val="7030A0"/>
        </w:rPr>
      </w:pPr>
      <w:r w:rsidRPr="0012036D">
        <w:rPr>
          <w:i/>
          <w:iCs/>
          <w:color w:val="7030A0"/>
        </w:rPr>
        <w:t xml:space="preserve">INSTRUCTION </w:t>
      </w:r>
      <w:r w:rsidR="0012036D">
        <w:rPr>
          <w:i/>
          <w:iCs/>
          <w:color w:val="7030A0"/>
        </w:rPr>
        <w:t xml:space="preserve">IJC </w:t>
      </w:r>
      <w:r w:rsidRPr="0012036D">
        <w:rPr>
          <w:i/>
          <w:iCs/>
          <w:color w:val="7030A0"/>
        </w:rPr>
        <w:t xml:space="preserve">2024 </w:t>
      </w:r>
      <w:r w:rsidR="0012036D" w:rsidRPr="0012036D">
        <w:rPr>
          <w:i/>
          <w:iCs/>
          <w:color w:val="7030A0"/>
        </w:rPr>
        <w:t>(BOFIP 26-9-2024)</w:t>
      </w:r>
      <w:r w:rsidR="0012036D">
        <w:rPr>
          <w:i/>
          <w:iCs/>
          <w:color w:val="7030A0"/>
        </w:rPr>
        <w:t xml:space="preserve"> pages 99 et suivants </w:t>
      </w:r>
    </w:p>
    <w:p w14:paraId="4D0CBB9D" w14:textId="77777777" w:rsidR="00C8528A" w:rsidRPr="00C8528A" w:rsidRDefault="00C8528A" w:rsidP="00C8528A">
      <w:pPr>
        <w:jc w:val="both"/>
      </w:pPr>
    </w:p>
    <w:p w14:paraId="1E0E5CE6" w14:textId="77777777" w:rsidR="00C8528A" w:rsidRPr="0012036D" w:rsidRDefault="00C8528A" w:rsidP="0012036D">
      <w:pPr>
        <w:autoSpaceDE w:val="0"/>
        <w:autoSpaceDN w:val="0"/>
        <w:adjustRightInd w:val="0"/>
        <w:spacing w:after="0" w:line="240" w:lineRule="auto"/>
        <w:jc w:val="center"/>
        <w:rPr>
          <w:rFonts w:cs="MarianneRegular"/>
          <w:b/>
          <w:bCs/>
          <w:color w:val="000000"/>
          <w:kern w:val="0"/>
          <w:u w:val="single"/>
        </w:rPr>
      </w:pPr>
      <w:r w:rsidRPr="0012036D">
        <w:rPr>
          <w:rFonts w:cs="MarianneRegular"/>
          <w:b/>
          <w:bCs/>
          <w:color w:val="000000"/>
          <w:kern w:val="0"/>
          <w:u w:val="single"/>
        </w:rPr>
        <w:t>Sous-section 1. La carte d'achat</w:t>
      </w:r>
    </w:p>
    <w:p w14:paraId="28701A8E" w14:textId="1F98CBF0" w:rsidR="00C8528A" w:rsidRPr="00C8528A" w:rsidRDefault="00C8528A" w:rsidP="00C8528A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C8528A">
        <w:rPr>
          <w:rFonts w:cs="MarianneRegular"/>
          <w:color w:val="000000"/>
          <w:kern w:val="0"/>
        </w:rPr>
        <w:t>La carte d’achat est à la fois une modalité d’exécution des marchés publics et un outil de commande et de</w:t>
      </w:r>
      <w:r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paiement, confié par l’ordonnateur à des personnels en fonction dans les services placés sous son autorité,</w:t>
      </w:r>
      <w:r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permettant de réaliser des achats courants, fréquents et de faible montant directement auprès d'un certain</w:t>
      </w:r>
      <w:r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nombre de fournisseurs référencés par l’organisme public.</w:t>
      </w:r>
    </w:p>
    <w:p w14:paraId="6F801B33" w14:textId="47D7E591" w:rsidR="00C8528A" w:rsidRPr="00C8528A" w:rsidRDefault="00C8528A" w:rsidP="00C8528A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C8528A">
        <w:rPr>
          <w:rFonts w:cs="MarianneRegular"/>
          <w:color w:val="000000"/>
          <w:kern w:val="0"/>
        </w:rPr>
        <w:t>Son utilisation a été précisée par le d</w:t>
      </w:r>
      <w:r w:rsidRPr="00C8528A">
        <w:rPr>
          <w:rFonts w:cs="MarianneRegular"/>
          <w:color w:val="000081"/>
          <w:kern w:val="0"/>
        </w:rPr>
        <w:t xml:space="preserve">écret </w:t>
      </w:r>
      <w:r w:rsidRPr="00C8528A">
        <w:rPr>
          <w:rFonts w:cs="MarianneRegular"/>
          <w:color w:val="000000"/>
          <w:kern w:val="0"/>
        </w:rPr>
        <w:t>n° 2023-209 du 27 mars 2023 relatif à l'exécution de la dépense</w:t>
      </w:r>
      <w:r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publique par carte d'achat.</w:t>
      </w:r>
    </w:p>
    <w:p w14:paraId="28966492" w14:textId="271D0BE5" w:rsidR="00C8528A" w:rsidRPr="00C8528A" w:rsidRDefault="00C8528A" w:rsidP="00C8528A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C8528A">
        <w:rPr>
          <w:rFonts w:cs="MarianneRegular"/>
          <w:color w:val="000000"/>
          <w:kern w:val="0"/>
        </w:rPr>
        <w:t>Ce moyen de paiement est destiné à réaliser les dépenses de fonctionnement, dans le cadre de marchés</w:t>
      </w:r>
      <w:r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publics formalisés ou non (en application du code de la commande publique), ainsi que les dépenses hors marchés</w:t>
      </w:r>
      <w:r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 xml:space="preserve">publics dont la liste exhaustive est définie par </w:t>
      </w:r>
      <w:r w:rsidRPr="00C8528A">
        <w:rPr>
          <w:rFonts w:cs="MarianneRegular"/>
          <w:color w:val="000081"/>
          <w:kern w:val="0"/>
        </w:rPr>
        <w:t>l’arrêté du 22 mai 2023 portant application de l'article 3 du décret</w:t>
      </w:r>
      <w:r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81"/>
          <w:kern w:val="0"/>
        </w:rPr>
        <w:t>du 27 mars 2023 précité.</w:t>
      </w:r>
    </w:p>
    <w:p w14:paraId="430D7368" w14:textId="081E8997" w:rsidR="00C8528A" w:rsidRPr="00C8528A" w:rsidRDefault="00C8528A" w:rsidP="00C8528A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C8528A">
        <w:rPr>
          <w:rFonts w:cs="MarianneRegular"/>
          <w:color w:val="000000"/>
          <w:kern w:val="0"/>
        </w:rPr>
        <w:lastRenderedPageBreak/>
        <w:t xml:space="preserve">En outre, l'article 3 du </w:t>
      </w:r>
      <w:r w:rsidRPr="00C8528A">
        <w:rPr>
          <w:rFonts w:cs="MarianneRegular"/>
          <w:color w:val="000081"/>
          <w:kern w:val="0"/>
        </w:rPr>
        <w:t xml:space="preserve">décret du 27 mars 2023 </w:t>
      </w:r>
      <w:r w:rsidRPr="00C8528A">
        <w:rPr>
          <w:rFonts w:cs="MarianneRegular"/>
          <w:color w:val="000000"/>
          <w:kern w:val="0"/>
        </w:rPr>
        <w:t>susmentionné dispose que les personnes morales de droit public</w:t>
      </w:r>
      <w:r w:rsidR="00513D71"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dotées d'un comptable public peuvent recourir à la carte d'achat comme modalité d'exécution des marchés,</w:t>
      </w:r>
      <w:r w:rsidR="00513D71"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à l’exception des marchés suivants :</w:t>
      </w:r>
    </w:p>
    <w:p w14:paraId="0F51ED74" w14:textId="21027CF4" w:rsidR="00C8528A" w:rsidRPr="00C8528A" w:rsidRDefault="00C8528A" w:rsidP="00C8528A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C8528A">
        <w:rPr>
          <w:rFonts w:cs="MarianneRegular"/>
          <w:color w:val="000000"/>
          <w:kern w:val="0"/>
        </w:rPr>
        <w:t>- des marchés de travaux, sauf décision de l'acheteur motivée par des besoins d'entretien et de réparation</w:t>
      </w:r>
      <w:r w:rsidR="00513D71"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courants non immobilisés ;</w:t>
      </w:r>
    </w:p>
    <w:p w14:paraId="638AE43C" w14:textId="4EE9F245" w:rsidR="00C8528A" w:rsidRPr="00C8528A" w:rsidRDefault="00C8528A" w:rsidP="00C8528A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C8528A">
        <w:rPr>
          <w:rFonts w:cs="MarianneRegular"/>
          <w:color w:val="000000"/>
          <w:kern w:val="0"/>
        </w:rPr>
        <w:t>- des marchés conduisant à une comptabilisation des achats sur comptes de stocks en raison de la difficulté</w:t>
      </w:r>
      <w:r w:rsidR="00513D71"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à en faire le rapprochement avec les relevés d’opérations, et par les délais de livraison (15 jours en moyenne) et de</w:t>
      </w:r>
      <w:r w:rsidR="00513D71"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télécollecte qui doivent être inférieurs au délai d’autorisation bancaire (environ 30 jours) des transactions ;</w:t>
      </w:r>
    </w:p>
    <w:p w14:paraId="6262B84C" w14:textId="77777777" w:rsidR="00C8528A" w:rsidRPr="00C8528A" w:rsidRDefault="00C8528A" w:rsidP="00C8528A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C8528A">
        <w:rPr>
          <w:rFonts w:cs="MarianneRegular"/>
          <w:color w:val="000000"/>
          <w:kern w:val="0"/>
        </w:rPr>
        <w:t>- des marchés faisant l'objet d'une avance auprès du fournisseur (accepteur</w:t>
      </w:r>
      <w:proofErr w:type="gramStart"/>
      <w:r w:rsidRPr="00C8528A">
        <w:rPr>
          <w:rFonts w:cs="MarianneRegular"/>
          <w:color w:val="000000"/>
          <w:kern w:val="0"/>
        </w:rPr>
        <w:t>) .</w:t>
      </w:r>
      <w:proofErr w:type="gramEnd"/>
    </w:p>
    <w:p w14:paraId="13FF3F99" w14:textId="4FF6C876" w:rsidR="00C8528A" w:rsidRPr="00C8528A" w:rsidRDefault="00C8528A" w:rsidP="00C8528A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C8528A">
        <w:rPr>
          <w:rFonts w:cs="MarianneRegular"/>
          <w:color w:val="000000"/>
          <w:kern w:val="0"/>
        </w:rPr>
        <w:t>L'utilisation d'une carte d’achat ne nécessite pas l'autorisation préalable du directeur général des finances</w:t>
      </w:r>
      <w:r w:rsidR="00513D71"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publiques, conformément à l’</w:t>
      </w:r>
      <w:r w:rsidRPr="00C8528A">
        <w:rPr>
          <w:rFonts w:cs="MarianneRegular"/>
          <w:color w:val="000081"/>
          <w:kern w:val="0"/>
        </w:rPr>
        <w:t xml:space="preserve">arrêté </w:t>
      </w:r>
      <w:r w:rsidRPr="00C8528A">
        <w:rPr>
          <w:rFonts w:cs="MarianneRegular"/>
          <w:color w:val="000000"/>
          <w:kern w:val="0"/>
        </w:rPr>
        <w:t>du 11 mars 2024 autorisant l'ouverture d'un ou de plusieurs comptes auprès</w:t>
      </w:r>
      <w:r w:rsidR="00513D71"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d'un établissement de crédit pris en application de l'article 197 du décret n° 2012-1246 du 7 novembre 2012 relatif</w:t>
      </w:r>
      <w:r w:rsidR="00513D71"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à la gestion budgétaire et comptable publique.</w:t>
      </w:r>
    </w:p>
    <w:p w14:paraId="42378123" w14:textId="77777777" w:rsidR="00C8528A" w:rsidRPr="00C8528A" w:rsidRDefault="00C8528A" w:rsidP="00C8528A">
      <w:pPr>
        <w:autoSpaceDE w:val="0"/>
        <w:autoSpaceDN w:val="0"/>
        <w:adjustRightInd w:val="0"/>
        <w:spacing w:after="0" w:line="240" w:lineRule="auto"/>
        <w:jc w:val="both"/>
        <w:rPr>
          <w:rFonts w:cs="MarianneBold"/>
          <w:b/>
          <w:bCs/>
          <w:color w:val="000000"/>
          <w:kern w:val="0"/>
        </w:rPr>
      </w:pPr>
      <w:r w:rsidRPr="00C8528A">
        <w:rPr>
          <w:rFonts w:cs="MarianneBold"/>
          <w:b/>
          <w:bCs/>
          <w:color w:val="000000"/>
          <w:kern w:val="0"/>
        </w:rPr>
        <w:t>A. Présentation du dispositif de carte d’achat</w:t>
      </w:r>
    </w:p>
    <w:p w14:paraId="55612DEA" w14:textId="1B145646" w:rsidR="00C8528A" w:rsidRPr="00C8528A" w:rsidRDefault="00C8528A" w:rsidP="00C8528A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C8528A">
        <w:rPr>
          <w:rFonts w:cs="MarianneRegular"/>
          <w:color w:val="000000"/>
          <w:kern w:val="0"/>
        </w:rPr>
        <w:t>L’organisme public, ayant passé un marché public d’émission de carte d’achat avec un établissement financier</w:t>
      </w:r>
      <w:r w:rsidR="00513D71"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 xml:space="preserve">également appelé « </w:t>
      </w:r>
      <w:proofErr w:type="gramStart"/>
      <w:r w:rsidRPr="00C8528A">
        <w:rPr>
          <w:rFonts w:cs="MarianneRegular"/>
          <w:color w:val="000000"/>
          <w:kern w:val="0"/>
        </w:rPr>
        <w:t>émetteur»</w:t>
      </w:r>
      <w:proofErr w:type="gramEnd"/>
      <w:r w:rsidRPr="00C8528A">
        <w:rPr>
          <w:rFonts w:cs="MarianneRegular"/>
          <w:color w:val="000000"/>
          <w:kern w:val="0"/>
        </w:rPr>
        <w:t>, désigne dans son personnel des agents porteurs de la carte d’achat.</w:t>
      </w:r>
    </w:p>
    <w:p w14:paraId="076DC725" w14:textId="77777777" w:rsidR="00513D71" w:rsidRDefault="00C8528A" w:rsidP="00513D71">
      <w:pPr>
        <w:autoSpaceDE w:val="0"/>
        <w:autoSpaceDN w:val="0"/>
        <w:adjustRightInd w:val="0"/>
        <w:spacing w:after="0" w:line="240" w:lineRule="auto"/>
        <w:jc w:val="both"/>
        <w:rPr>
          <w:rFonts w:ascii="MarianneRegular" w:hAnsi="MarianneRegular" w:cs="MarianneRegular"/>
          <w:color w:val="000000"/>
          <w:kern w:val="0"/>
          <w:sz w:val="18"/>
          <w:szCs w:val="18"/>
        </w:rPr>
      </w:pPr>
      <w:r w:rsidRPr="00C8528A">
        <w:rPr>
          <w:rFonts w:cs="MarianneRegular"/>
          <w:color w:val="000000"/>
          <w:kern w:val="0"/>
        </w:rPr>
        <w:t>Chaque carte, nominative et comportant un numéro d’identification individuel, est paramétrée pour fixer les</w:t>
      </w:r>
      <w:r w:rsidR="00513D71"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droits et les habilitations du porteur. Ce dernier passe commande, dans des limites budgétaires déterminées, au</w:t>
      </w:r>
      <w:r w:rsidR="00513D71"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point de vente ou par catalogue électronique de fournisseurs retenus conformément aux règles de la commande</w:t>
      </w:r>
      <w:r w:rsidR="00513D71">
        <w:rPr>
          <w:rFonts w:cs="MarianneRegular"/>
          <w:color w:val="000000"/>
          <w:kern w:val="0"/>
        </w:rPr>
        <w:t xml:space="preserve"> </w:t>
      </w:r>
      <w:r w:rsidRPr="00C8528A">
        <w:rPr>
          <w:rFonts w:cs="MarianneRegular"/>
          <w:color w:val="000000"/>
          <w:kern w:val="0"/>
        </w:rPr>
        <w:t>publique et appelés « accepteurs</w:t>
      </w:r>
      <w:r w:rsidR="00513D71">
        <w:rPr>
          <w:rFonts w:cs="MarianneRegular"/>
          <w:color w:val="000000"/>
          <w:kern w:val="0"/>
        </w:rPr>
        <w:t>.</w:t>
      </w:r>
      <w:r w:rsidR="00513D71" w:rsidRPr="00513D71">
        <w:rPr>
          <w:rFonts w:ascii="MarianneRegular" w:hAnsi="MarianneRegular" w:cs="MarianneRegular"/>
          <w:color w:val="000000"/>
          <w:kern w:val="0"/>
          <w:sz w:val="18"/>
          <w:szCs w:val="18"/>
        </w:rPr>
        <w:t xml:space="preserve"> </w:t>
      </w:r>
    </w:p>
    <w:p w14:paraId="41760812" w14:textId="797AC6FD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Une demande d’autorisation électronique par le système d’acceptation du fournisseur est adressée à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l’émetteur de la carte en vue de contrôles de conformité au marché de carte d’achat. La créance née de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l’utilisation de la carte est alors éteinte auprès du fournisseur.</w:t>
      </w:r>
    </w:p>
    <w:p w14:paraId="2271284C" w14:textId="55E0B88E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Hors circuit de prélèvement, le montant de cette créance, inscrit au débit d’un compte dit « technique »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ouvert dans les livres de l’émetteur, est porté sur le relevé d'opérations administration (ROA) établi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périodiquement par l'émetteur au nom de l'organisme public national (OPN) pour retracer l'ensemble des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transactions d'un centre de facturation.</w:t>
      </w:r>
    </w:p>
    <w:p w14:paraId="10DD00FF" w14:textId="643635C0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L’organisme public procède aux opérations de vérification et d’admission des achats et des prestations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à l’appui des ROA adressés par la banque. Les demandes de paiement sont émises par l'ordonnateur et le ROA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constitue par principe la pièce justificative de la dépense, unique ou non.</w:t>
      </w:r>
    </w:p>
    <w:p w14:paraId="49EF1C50" w14:textId="687830E7" w:rsidR="00C8528A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L’agent comptable effectue les contrôles réglementaires en s'appuyant, le cas échéant, sur les autres pièces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justificatives limitativement énumérées par la nomenclature des pièces justificatives des OPN.</w:t>
      </w:r>
    </w:p>
    <w:p w14:paraId="0A41296D" w14:textId="493AA001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 xml:space="preserve">Si </w:t>
      </w:r>
      <w:proofErr w:type="gramStart"/>
      <w:r w:rsidRPr="00513D71">
        <w:rPr>
          <w:rFonts w:cs="MarianneRegular"/>
          <w:color w:val="000000"/>
          <w:kern w:val="0"/>
        </w:rPr>
        <w:t>suite aux</w:t>
      </w:r>
      <w:proofErr w:type="gramEnd"/>
      <w:r w:rsidRPr="00513D71">
        <w:rPr>
          <w:rFonts w:cs="MarianneRegular"/>
          <w:color w:val="000000"/>
          <w:kern w:val="0"/>
        </w:rPr>
        <w:t xml:space="preserve"> opérations de vérification et d’admission des achats et des prestations des anomalies sont relevées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qui justifieraient de ne pas payer, c’est vers le fournisseur de l’achat ou de la prestation qu’il faut se tourner afin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d’obtenir une nouvelle livraison ou un remboursement. L’émetteur des cartes ne peut être tenu responsable :</w:t>
      </w:r>
    </w:p>
    <w:p w14:paraId="00DEF904" w14:textId="77777777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- d’un défaut de qualité de la prestation du fournisseur ;</w:t>
      </w:r>
    </w:p>
    <w:p w14:paraId="7DF6E4D4" w14:textId="0FB043B3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- d’un usage abusif de la carte par un porteur (soit par défaut de paramétrage de la carte, soit dû à une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malveillance du porteur).</w:t>
      </w:r>
    </w:p>
    <w:p w14:paraId="6D311F7B" w14:textId="19B0FDF7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Pour les dépenses qui ont été prises en charge, conformément aux clauses du contrat, l’agent comptable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procède au virement des sommes dues par crédit du compte technique de l’émetteur. Pour les organismes publics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bénéficiaires de l’Accord-cadre interministériel de la DAE (novembre 2021 – novembre 2027), le paiement par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prélèvement des dépenses par cartes d’achat est obligatoire, conformément aux conditions d’adhésion à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l’Accord-cadre mentionné et à la réglementation applicable aux OPN.</w:t>
      </w:r>
    </w:p>
    <w:p w14:paraId="6B4E4D55" w14:textId="510AD293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Les autres modalités d’utilisation de la carte d’achat sont décrites dans :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l’instruction BOFIP-GCP-13-0017 du 14 août 2013 relative aux modalités de gestion des moyens de paiement et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des activités bancaires du secteur public ;</w:t>
      </w:r>
    </w:p>
    <w:p w14:paraId="44A079D8" w14:textId="73349E39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- l’instruction interministérielle du 16 mai 2023 relative au déploiement et à l'utilisation de la carte affaires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et de la carte d'achat ;</w:t>
      </w:r>
    </w:p>
    <w:p w14:paraId="55D342B8" w14:textId="5307B14E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- l’instruction du 29 mars 2019 relative à l’exécution des marchés publics écrits et non écrits par carte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d’achat dans le cadre des services de l’État ;</w:t>
      </w:r>
    </w:p>
    <w:p w14:paraId="14821634" w14:textId="39F3BDC0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- la documentation mise à disposition des acheteurs publics et des fournisseurs sur le portail interministériel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 xml:space="preserve">des achats de l’État (grille d’éligibilité, fiche pédagogique, </w:t>
      </w:r>
      <w:proofErr w:type="gramStart"/>
      <w:r w:rsidRPr="00513D71">
        <w:rPr>
          <w:rFonts w:cs="MarianneRegular"/>
          <w:color w:val="000000"/>
          <w:kern w:val="0"/>
        </w:rPr>
        <w:t>etc...</w:t>
      </w:r>
      <w:proofErr w:type="gramEnd"/>
      <w:r w:rsidRPr="00513D71">
        <w:rPr>
          <w:rFonts w:cs="MarianneRegular"/>
          <w:color w:val="000000"/>
          <w:kern w:val="0"/>
        </w:rPr>
        <w:t>).</w:t>
      </w:r>
    </w:p>
    <w:p w14:paraId="5D9A77A5" w14:textId="77777777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b/>
          <w:bCs/>
          <w:color w:val="000000"/>
          <w:kern w:val="0"/>
        </w:rPr>
      </w:pPr>
      <w:r w:rsidRPr="00513D71">
        <w:rPr>
          <w:rFonts w:cs="MarianneRegular"/>
          <w:b/>
          <w:bCs/>
          <w:color w:val="000000"/>
          <w:kern w:val="0"/>
        </w:rPr>
        <w:t>B. Le dispositif contractuel de marché d'émission et d’exécution de carte d'achat</w:t>
      </w:r>
    </w:p>
    <w:p w14:paraId="439C3B0F" w14:textId="734F0806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La passation d’un « marché public d’émission de carte d’achat » auprès d’un émetteur de carte d’achat est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soumise à la réglementation des marchés publics et au code monétaire et financier (article L. 518-1). Ce marché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peut également avoir été conclu, en lien avec la tutelle de l’organisme, dans le cadre du marché subséquent lié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à l’Accord-cadre interministériel mentionné supra.</w:t>
      </w:r>
      <w:r w:rsidRPr="00513D71"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Dès lors que le « marché public d’exécution » auprès d’un fournisseur référencé est formalisé, son exécution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par carte d’achat doit être explicitement prévue par un cahier des charges et un contrat, ou un avenant, si le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dispositif est mis en place en cours d'exécution contractuelle. Une clause spécifique à l’exécution par carte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d’achat est disponible dans l’outil de rédaction des marchés de l’État (ORME), généré par la plateforme de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dématérialisation des procédures de marché de l’État (PLACE).</w:t>
      </w:r>
    </w:p>
    <w:p w14:paraId="32D80837" w14:textId="4954237D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 xml:space="preserve">Un même marché peut à la fois être exécuté par carte d’achat et selon des modalités classiques </w:t>
      </w:r>
      <w:r w:rsidR="0012036D">
        <w:rPr>
          <w:rFonts w:cs="MarianneRegular"/>
          <w:color w:val="000000"/>
          <w:kern w:val="0"/>
        </w:rPr>
        <w:t>a</w:t>
      </w:r>
      <w:r w:rsidRPr="00513D71">
        <w:rPr>
          <w:rFonts w:cs="MarianneRegular"/>
          <w:color w:val="000000"/>
          <w:kern w:val="0"/>
        </w:rPr>
        <w:t>vec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l'émission préalable d'un bon de commande. Dans ce cas, la partie exécutée par carte d’achat ne fait pas l’objet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de bons de commande spécifiques.</w:t>
      </w:r>
    </w:p>
    <w:p w14:paraId="24C0006C" w14:textId="6FA6C23F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À chaque carte peuvent être associés un ou plusieurs plafonds périodiques maximaux d’engagement.</w:t>
      </w:r>
    </w:p>
    <w:p w14:paraId="5A41CC66" w14:textId="5FD70B6C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Toutefois, la carte d’achat ne permet pas de réaliser des retraits d’espèces. Le paiement du fournisseur est opéré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par l’émetteur ou son correspondant bancaire dans le délai prévu entre l'entité publique et l'émetteur 94 conforme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aux délais des transactions interbancaires et dès lors que le fournisseur a mis sa transaction en télécollecte.</w:t>
      </w:r>
    </w:p>
    <w:p w14:paraId="29859D4E" w14:textId="08673DE2" w:rsid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La principale conséquence juridique du marché d’émission de carte d’achat et de l’exécution du marché du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titulaire par carte d’achat est d’éteindre les obligations de l’entité publique vis-à-vis de l’accepteur, au profit de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nouvelles obligations entre l’entité publique et l’émetteur. Il en résulte que l’entité publique n’est plus redevable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d’un paiement à l’accepteur et que ce dernier renonce à toute forme de paiement direct par l’entité publique des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créances nées ou à naître au titre du marché (ou d'une partie du marché) exécuté par carte d’achat dont il est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titulaire.</w:t>
      </w:r>
    </w:p>
    <w:p w14:paraId="027DB1FF" w14:textId="168F8B3B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>
        <w:rPr>
          <w:rFonts w:cs="MarianneRegular"/>
          <w:color w:val="000000"/>
          <w:kern w:val="0"/>
        </w:rPr>
        <w:t xml:space="preserve">A </w:t>
      </w:r>
      <w:r w:rsidRPr="00513D71">
        <w:rPr>
          <w:rFonts w:cs="MarianneRegular"/>
          <w:color w:val="000000"/>
          <w:kern w:val="0"/>
        </w:rPr>
        <w:t>noter que lorsqu’un marché prévoit son exécution par carte d’achat, une clause du marché précise que cette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partie du contrat ne pourra être cédée ou nantie par la suite. En effet, une créance née ou à naître d’un marché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exécuté par carte d’achat n’est pas payable par l’entité publique mais par l’émetteur ou son correspondant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bancaire conformément à l’alinéa 2 de l’article 5 du décret n° 2023-209 du 27 mars 2023.</w:t>
      </w:r>
    </w:p>
    <w:p w14:paraId="5C2A53E1" w14:textId="0AA6B7C0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La carte achat, qui n’est pas une prestation proposée par la direction générale des finances publiques (DGFiP),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implique la détention par tout OPN ayant recours à ce dispositif d’un compte auprès d’un établissement bancaire.</w:t>
      </w:r>
    </w:p>
    <w:p w14:paraId="19437A91" w14:textId="5128E0D4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L ’arrêté du 11 mars 2024 autorisant l’ouverture d’un ou plusieurs comptes auprès d’un établissement de crédit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pris en application de l’article 197 du décret n° 2012-1246 du 7 novembre 2012 relatif à la gestion budgétaire et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comptable publique prévoit que les OPN peuvent ouvrir un ou plusieurs comptes bancaires auprès d’un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établissement de crédit dont l’utilisation est réservée au paiement des dépenses par carte d’achat.</w:t>
      </w:r>
    </w:p>
    <w:p w14:paraId="3F1D6EDB" w14:textId="4CD90E11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Les organismes qui détiennent ainsi un ou plusieurs comptes auprès d’un établissement de crédit pour le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paiement des dépenses par carte d’achat, sont tenus de communiquer à l'Agence France Trésor l’encours, pour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chaque compte, des dépôts dérogatoires au 30 juin et 31 décembre de chaque année, dans le mois qui suit ces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dates à l’adresse AFT-TRESO@aft.gouv.fr. Cette communication doit s’accompagner de la nature des flux de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dépenses et de recettes transitant par chacun de ces comptes bancaires dérogatoires.</w:t>
      </w:r>
    </w:p>
    <w:p w14:paraId="6732AAE9" w14:textId="77777777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b/>
          <w:bCs/>
          <w:color w:val="000000"/>
          <w:kern w:val="0"/>
        </w:rPr>
      </w:pPr>
      <w:r w:rsidRPr="00513D71">
        <w:rPr>
          <w:rFonts w:cs="MarianneRegular"/>
          <w:b/>
          <w:bCs/>
          <w:color w:val="000000"/>
          <w:kern w:val="0"/>
        </w:rPr>
        <w:t>C. L’exécution du marché de cartes d’achat</w:t>
      </w:r>
    </w:p>
    <w:p w14:paraId="1DD3A74E" w14:textId="77777777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I. Désignation et habilitation des porteurs de carte d’achat</w:t>
      </w:r>
    </w:p>
    <w:p w14:paraId="7924F4D5" w14:textId="2BDA3754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Une carte d'achat est délivrée par l’émetteur à un agent sur instruction d'un responsable de programme de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carte d'achat de l’organisme public ou d'une personne le représentant. Ce dernier établit les paramètres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d’habilitation de chaque carte en fonction de l’offre de l’émetteur et des besoins de l’OPN.</w:t>
      </w:r>
    </w:p>
    <w:p w14:paraId="77454ED2" w14:textId="08762110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Le référencement des fournisseurs est par principe obligatoire et systématique (à l'exception des achats réalisés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à l'étranger, y compris par internet). Cette obligation ne peut être levée que par une dérogation au référencement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permanente ou temporaire. Toutefois, dans le cadre des marchés subséquents de l’Accord-cadre interministériel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susmentionné</w:t>
      </w:r>
      <w:r w:rsidRPr="00513D71">
        <w:rPr>
          <w:rFonts w:cs="MarianneRegular"/>
          <w:color w:val="000000"/>
          <w:kern w:val="0"/>
        </w:rPr>
        <w:t>, les OPN concernés n’ont pas à solliciter de dérogation permanente au référencement. Dans ce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cadre, l’agent comptable est informé du recours au dispositif de dérogation temporaire décidé sous la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responsabilité de l’ordonnateur, pour des achats urgents par exemple.</w:t>
      </w:r>
    </w:p>
    <w:p w14:paraId="28C8FA75" w14:textId="25238933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La désignation d’un porteur de carte, par décision administrative du chef de service ou de son délégataire,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vaut autorisation pour celui-ci d’engager l’organisme public, dans les conditions fixées par l'instruction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interministérielle du 16 mai 2023 relative au déploiement et à l’utilisation de la carte affaires et de la carte d’achat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et dans le respect de la réglementation relative aux marchés publics.</w:t>
      </w:r>
    </w:p>
    <w:p w14:paraId="63CBC89D" w14:textId="7785FBC7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Le porteur n’a pas l’obligation d’être délégataire de signature dans le cas d’un marché passé sous forme écrite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et signé par un pouvoir adjudicateur car il ne contracte pas lui-même de marchés publics.</w:t>
      </w:r>
    </w:p>
    <w:p w14:paraId="65F0CCA7" w14:textId="5B2634BF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Les relations entre les agents et leur entité sont régies par une charte d'engagement (annexe 3) définissant les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règles d'utilisation des cartes d'achat, signée par le porteur au moment de la remise de la carte nominative.</w:t>
      </w:r>
    </w:p>
    <w:p w14:paraId="201607A1" w14:textId="361A023B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Ces règles peuvent découler du marché d’émission de carte d’achat mais l’agent n’est responsable que devant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l’organisme public.</w:t>
      </w:r>
    </w:p>
    <w:p w14:paraId="082F614A" w14:textId="77777777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b/>
          <w:bCs/>
          <w:color w:val="000000"/>
          <w:kern w:val="0"/>
        </w:rPr>
      </w:pPr>
      <w:r w:rsidRPr="00513D71">
        <w:rPr>
          <w:rFonts w:cs="MarianneRegular"/>
          <w:b/>
          <w:bCs/>
          <w:color w:val="000000"/>
          <w:kern w:val="0"/>
        </w:rPr>
        <w:t>II. Nature des opérations autorisées lors de l’utilisation de la carte d'achat</w:t>
      </w:r>
    </w:p>
    <w:p w14:paraId="1CB41765" w14:textId="77777777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Deux modalités d'utilisation de la carte d'achat sont autorisées :</w:t>
      </w:r>
    </w:p>
    <w:p w14:paraId="411DC4B6" w14:textId="18F9AE9B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- les achats de proximité ou à distance, de faible montant, effectués auprès de commerçants au guichet, sur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internet, à l'étranger ;</w:t>
      </w:r>
    </w:p>
    <w:p w14:paraId="42385DC6" w14:textId="5468C0AB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513D71">
        <w:rPr>
          <w:rFonts w:cs="MarianneRegular"/>
          <w:color w:val="000000"/>
          <w:kern w:val="0"/>
        </w:rPr>
        <w:t>- les achats en exécution d'un marché public écrit (incluant les marchés publics à procédure adaptée) identifié</w:t>
      </w:r>
      <w:r>
        <w:rPr>
          <w:rFonts w:cs="MarianneRegular"/>
          <w:color w:val="000000"/>
          <w:kern w:val="0"/>
        </w:rPr>
        <w:t xml:space="preserve"> </w:t>
      </w:r>
      <w:r w:rsidRPr="00513D71">
        <w:rPr>
          <w:rFonts w:cs="MarianneRegular"/>
          <w:color w:val="000000"/>
          <w:kern w:val="0"/>
        </w:rPr>
        <w:t>par un engagement juridique dans le système d'information et justifiés par un ROA « enrichi ».</w:t>
      </w:r>
    </w:p>
    <w:p w14:paraId="16C026FB" w14:textId="094E8D7C" w:rsidR="00513D71" w:rsidRPr="00513D71" w:rsidRDefault="00513D71" w:rsidP="00513D71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</w:p>
    <w:sectPr w:rsidR="00513D71" w:rsidRPr="00513D7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74EFCD" w14:textId="77777777" w:rsidR="00CE20C9" w:rsidRDefault="00CE20C9" w:rsidP="0012036D">
      <w:pPr>
        <w:spacing w:after="0" w:line="240" w:lineRule="auto"/>
      </w:pPr>
      <w:r>
        <w:separator/>
      </w:r>
    </w:p>
  </w:endnote>
  <w:endnote w:type="continuationSeparator" w:id="0">
    <w:p w14:paraId="0C87F7FA" w14:textId="77777777" w:rsidR="00CE20C9" w:rsidRDefault="00CE20C9" w:rsidP="00120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rianne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rianne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F5B27" w14:textId="14592FCF" w:rsidR="0012036D" w:rsidRPr="0012036D" w:rsidRDefault="0012036D">
    <w:pPr>
      <w:pStyle w:val="Pieddepage"/>
      <w:rPr>
        <w:i/>
        <w:iCs/>
        <w:color w:val="808080" w:themeColor="background1" w:themeShade="80"/>
      </w:rPr>
    </w:pPr>
    <w:r w:rsidRPr="0012036D">
      <w:rPr>
        <w:i/>
        <w:iCs/>
        <w:color w:val="808080" w:themeColor="background1" w:themeShade="80"/>
      </w:rPr>
      <w:t>CARTE ACHAT IJC MIS A JOUR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BA0817" w14:textId="77777777" w:rsidR="00CE20C9" w:rsidRDefault="00CE20C9" w:rsidP="0012036D">
      <w:pPr>
        <w:spacing w:after="0" w:line="240" w:lineRule="auto"/>
      </w:pPr>
      <w:r>
        <w:separator/>
      </w:r>
    </w:p>
  </w:footnote>
  <w:footnote w:type="continuationSeparator" w:id="0">
    <w:p w14:paraId="5BE7F165" w14:textId="77777777" w:rsidR="00CE20C9" w:rsidRDefault="00CE20C9" w:rsidP="001203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28A"/>
    <w:rsid w:val="0012036D"/>
    <w:rsid w:val="00306E20"/>
    <w:rsid w:val="00513D71"/>
    <w:rsid w:val="00AF7E60"/>
    <w:rsid w:val="00BD434F"/>
    <w:rsid w:val="00C8528A"/>
    <w:rsid w:val="00CE20C9"/>
    <w:rsid w:val="00EB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CBC76"/>
  <w15:chartTrackingRefBased/>
  <w15:docId w15:val="{4ABB4EC6-8556-4381-B76E-8E6E4E4A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85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85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85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85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5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5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5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5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5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85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85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85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8528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8528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528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8528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8528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8528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85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85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5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85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85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8528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8528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8528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5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528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8528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20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2036D"/>
  </w:style>
  <w:style w:type="paragraph" w:styleId="Pieddepage">
    <w:name w:val="footer"/>
    <w:basedOn w:val="Normal"/>
    <w:link w:val="PieddepageCar"/>
    <w:uiPriority w:val="99"/>
    <w:unhideWhenUsed/>
    <w:rsid w:val="00120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20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1830</Words>
  <Characters>10066</Characters>
  <Application>Microsoft Office Word</Application>
  <DocSecurity>0</DocSecurity>
  <Lines>83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GRAND PORT MARITIME DE MARSEILLE</Company>
  <LinksUpToDate>false</LinksUpToDate>
  <CharactersWithSpaces>11873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2024-10-11T13:25:00Z</dcterms:created>
  <dcterms:modified xsi:type="dcterms:W3CDTF">2024-10-11T13:49:00Z</dcterms:modified>
</cp:coreProperties>
</file>