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CDC56" w14:textId="7789016E" w:rsidR="00D706FD" w:rsidRDefault="00D706FD" w:rsidP="00D706FD">
      <w:pPr>
        <w:autoSpaceDE w:val="0"/>
        <w:autoSpaceDN w:val="0"/>
        <w:adjustRightInd w:val="0"/>
        <w:spacing w:after="0" w:line="240" w:lineRule="auto"/>
        <w:jc w:val="center"/>
        <w:rPr>
          <w:rFonts w:ascii="MarianneBold" w:eastAsia="MarianneBold" w:cs="MarianneBold"/>
          <w:b/>
          <w:bCs/>
          <w:color w:val="000000"/>
        </w:rPr>
      </w:pPr>
      <w:r>
        <w:rPr>
          <w:rFonts w:ascii="MarianneBold" w:eastAsia="MarianneBold" w:cs="MarianneBold"/>
          <w:b/>
          <w:bCs/>
          <w:color w:val="000000"/>
        </w:rPr>
        <w:t>RGP et dur</w:t>
      </w:r>
      <w:r>
        <w:rPr>
          <w:rFonts w:ascii="MarianneBold" w:eastAsia="MarianneBold" w:cs="MarianneBold"/>
          <w:b/>
          <w:bCs/>
          <w:color w:val="000000"/>
        </w:rPr>
        <w:t>é</w:t>
      </w:r>
      <w:r>
        <w:rPr>
          <w:rFonts w:ascii="MarianneBold" w:eastAsia="MarianneBold" w:cs="MarianneBold"/>
          <w:b/>
          <w:bCs/>
          <w:color w:val="000000"/>
        </w:rPr>
        <w:t>es d</w:t>
      </w:r>
      <w:r>
        <w:rPr>
          <w:rFonts w:ascii="MarianneBold" w:eastAsia="MarianneBold" w:cs="MarianneBold" w:hint="eastAsia"/>
          <w:b/>
          <w:bCs/>
          <w:color w:val="000000"/>
        </w:rPr>
        <w:t>’</w:t>
      </w:r>
      <w:r>
        <w:rPr>
          <w:rFonts w:ascii="MarianneBold" w:eastAsia="MarianneBold" w:cs="MarianneBold"/>
          <w:b/>
          <w:bCs/>
          <w:color w:val="000000"/>
        </w:rPr>
        <w:t>archivage des documents constitutifs du compte financier, des actes de</w:t>
      </w:r>
      <w:r>
        <w:rPr>
          <w:rFonts w:ascii="MarianneBold" w:eastAsia="MarianneBold" w:cs="MarianneBold"/>
          <w:b/>
          <w:bCs/>
          <w:color w:val="000000"/>
        </w:rPr>
        <w:t xml:space="preserve"> </w:t>
      </w:r>
      <w:r>
        <w:rPr>
          <w:rFonts w:ascii="MarianneBold" w:eastAsia="MarianneBold" w:cs="MarianneBold"/>
          <w:b/>
          <w:bCs/>
          <w:color w:val="000000"/>
        </w:rPr>
        <w:t>gestion, ainsi que des pi</w:t>
      </w:r>
      <w:r>
        <w:rPr>
          <w:rFonts w:ascii="MarianneBold" w:eastAsia="MarianneBold" w:cs="MarianneBold"/>
          <w:b/>
          <w:bCs/>
          <w:color w:val="000000"/>
        </w:rPr>
        <w:t>è</w:t>
      </w:r>
      <w:r>
        <w:rPr>
          <w:rFonts w:ascii="MarianneBold" w:eastAsia="MarianneBold" w:cs="MarianneBold"/>
          <w:b/>
          <w:bCs/>
          <w:color w:val="000000"/>
        </w:rPr>
        <w:t>ces justificatives</w:t>
      </w:r>
      <w:r w:rsidR="001636FB">
        <w:rPr>
          <w:rFonts w:ascii="MarianneBold" w:eastAsia="MarianneBold" w:cs="MarianneBold"/>
          <w:b/>
          <w:bCs/>
          <w:color w:val="000000"/>
        </w:rPr>
        <w:t xml:space="preserve"> (FLASH 183)</w:t>
      </w:r>
    </w:p>
    <w:p w14:paraId="4C058F11" w14:textId="77777777" w:rsidR="00D706FD" w:rsidRDefault="00D706FD" w:rsidP="00D706FD">
      <w:pPr>
        <w:autoSpaceDE w:val="0"/>
        <w:autoSpaceDN w:val="0"/>
        <w:adjustRightInd w:val="0"/>
        <w:spacing w:after="0" w:line="240" w:lineRule="auto"/>
        <w:rPr>
          <w:rFonts w:ascii="MarianneBold" w:eastAsia="MarianneBold" w:cs="MarianneBold"/>
          <w:b/>
          <w:bCs/>
          <w:color w:val="000000"/>
        </w:rPr>
      </w:pPr>
    </w:p>
    <w:p w14:paraId="4A1C89A0" w14:textId="2D7972A7" w:rsidR="00D706FD" w:rsidRDefault="00D706FD" w:rsidP="00D706FD">
      <w:pPr>
        <w:autoSpaceDE w:val="0"/>
        <w:autoSpaceDN w:val="0"/>
        <w:adjustRightInd w:val="0"/>
        <w:spacing w:after="0" w:line="240" w:lineRule="auto"/>
        <w:jc w:val="both"/>
        <w:rPr>
          <w:rFonts w:ascii="MarianneRegular" w:eastAsia="MarianneBold" w:hAnsi="MarianneRegular" w:cs="MarianneRegular"/>
          <w:color w:val="000000"/>
        </w:rPr>
      </w:pPr>
      <w:proofErr w:type="gramStart"/>
      <w:r>
        <w:rPr>
          <w:rFonts w:ascii="MarianneRegular" w:eastAsia="MarianneBold" w:hAnsi="MarianneRegular" w:cs="MarianneRegular"/>
          <w:color w:val="000000"/>
        </w:rPr>
        <w:t xml:space="preserve">L’ </w:t>
      </w:r>
      <w:r>
        <w:rPr>
          <w:rFonts w:ascii="MarianneRegular" w:eastAsia="MarianneBold" w:hAnsi="MarianneRegular" w:cs="MarianneRegular"/>
          <w:color w:val="000081"/>
        </w:rPr>
        <w:t>art</w:t>
      </w:r>
      <w:proofErr w:type="gramEnd"/>
      <w:r>
        <w:rPr>
          <w:rFonts w:ascii="MarianneRegular" w:eastAsia="MarianneBold" w:hAnsi="MarianneRegular" w:cs="MarianneRegular"/>
          <w:color w:val="000081"/>
        </w:rPr>
        <w:t xml:space="preserve"> </w:t>
      </w:r>
      <w:proofErr w:type="spellStart"/>
      <w:r>
        <w:rPr>
          <w:rFonts w:ascii="MarianneRegular" w:eastAsia="MarianneBold" w:hAnsi="MarianneRegular" w:cs="MarianneRegular"/>
          <w:color w:val="000081"/>
        </w:rPr>
        <w:t>icle</w:t>
      </w:r>
      <w:proofErr w:type="spellEnd"/>
      <w:r>
        <w:rPr>
          <w:rFonts w:ascii="MarianneRegular" w:eastAsia="MarianneBold" w:hAnsi="MarianneRegular" w:cs="MarianneRegular"/>
          <w:color w:val="000081"/>
        </w:rPr>
        <w:t xml:space="preserve"> 31 </w:t>
      </w:r>
      <w:r>
        <w:rPr>
          <w:rFonts w:ascii="MarianneRegular" w:eastAsia="MarianneBold" w:hAnsi="MarianneRegular" w:cs="MarianneRegular"/>
          <w:color w:val="000000"/>
        </w:rPr>
        <w:t>de l’ordonnance n° 2022-408 du 23 mars 2022 relative au régime de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responsabilité financière des gestionnaires publics prenant acte de l’abrogation du régime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de responsabilité personnelle et pécuniaire et de l’obligation de cautionnement en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résultant a prévu que si au 1</w:t>
      </w:r>
      <w:r>
        <w:rPr>
          <w:rFonts w:ascii="MarianneRegular" w:eastAsia="MarianneBold" w:hAnsi="MarianneRegular" w:cs="MarianneRegular"/>
          <w:color w:val="000000"/>
          <w:sz w:val="13"/>
          <w:szCs w:val="13"/>
        </w:rPr>
        <w:t xml:space="preserve">er </w:t>
      </w:r>
      <w:r>
        <w:rPr>
          <w:rFonts w:ascii="MarianneRegular" w:eastAsia="MarianneBold" w:hAnsi="MarianneRegular" w:cs="MarianneRegular"/>
          <w:color w:val="000000"/>
        </w:rPr>
        <w:t>janvier 2023, un comptable ou un régisseur auquel aucune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charge n'a été notifiée pour un exercice donné était déchargé de sa gestion au titre de cet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exercice. De même, à cette même date, si aucune charge n'existe ou ne subsiste pour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l'ensemble de sa gestion à l’encontre d’un comptable public ou d’un régisseur sorti de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fonction, alors il est quitte de ladite gestion.</w:t>
      </w:r>
    </w:p>
    <w:p w14:paraId="35E1D2CE" w14:textId="77777777" w:rsidR="00D706FD" w:rsidRDefault="00D706FD" w:rsidP="00D706FD">
      <w:pPr>
        <w:autoSpaceDE w:val="0"/>
        <w:autoSpaceDN w:val="0"/>
        <w:adjustRightInd w:val="0"/>
        <w:spacing w:after="0" w:line="240" w:lineRule="auto"/>
        <w:rPr>
          <w:rFonts w:ascii="MarianneRegular" w:eastAsia="MarianneBold" w:hAnsi="MarianneRegular" w:cs="MarianneRegular"/>
          <w:color w:val="000000"/>
        </w:rPr>
      </w:pPr>
    </w:p>
    <w:p w14:paraId="7C9DB929" w14:textId="12FDD2F9" w:rsidR="00D706FD" w:rsidRDefault="00D706FD" w:rsidP="00D706FD">
      <w:pPr>
        <w:autoSpaceDE w:val="0"/>
        <w:autoSpaceDN w:val="0"/>
        <w:adjustRightInd w:val="0"/>
        <w:spacing w:after="0" w:line="240" w:lineRule="auto"/>
        <w:jc w:val="both"/>
        <w:rPr>
          <w:rFonts w:ascii="MarianneRegular" w:eastAsia="MarianneBold" w:hAnsi="MarianneRegular" w:cs="MarianneRegular"/>
          <w:color w:val="000000"/>
        </w:rPr>
      </w:pPr>
      <w:r>
        <w:rPr>
          <w:rFonts w:ascii="MarianneRegular" w:eastAsia="MarianneBold" w:hAnsi="MarianneRegular" w:cs="MarianneRegular"/>
          <w:color w:val="000000"/>
        </w:rPr>
        <w:t>En prévoyant ce dispositif, il s’agissait de prendre acte de l’impossibilité légale de la Cour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des comptes mais également du ministre chargé du budget de déclarer une décharge ou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un quitus et, corrélativement pour les autorités administratives compétentes, de délivrer à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l’appui des décharges et quitus les certificats de libération du cautionnement permettant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au comptable public et au régisseur qui n’est plus soumis à une obligation de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cautionnement d’obtenir auprès de l’AFCM le remboursement de leur fonds de réserve.</w:t>
      </w:r>
    </w:p>
    <w:p w14:paraId="2B405D91" w14:textId="77777777" w:rsidR="00D706FD" w:rsidRDefault="00D706FD" w:rsidP="00D706FD">
      <w:pPr>
        <w:autoSpaceDE w:val="0"/>
        <w:autoSpaceDN w:val="0"/>
        <w:adjustRightInd w:val="0"/>
        <w:spacing w:after="0" w:line="240" w:lineRule="auto"/>
        <w:rPr>
          <w:rFonts w:ascii="MarianneRegular" w:eastAsia="MarianneBold" w:hAnsi="MarianneRegular" w:cs="MarianneRegular"/>
          <w:color w:val="000000"/>
        </w:rPr>
      </w:pPr>
    </w:p>
    <w:p w14:paraId="0A7EC231" w14:textId="4063F4F3" w:rsidR="00D706FD" w:rsidRDefault="00D706FD" w:rsidP="00D706FD">
      <w:pPr>
        <w:autoSpaceDE w:val="0"/>
        <w:autoSpaceDN w:val="0"/>
        <w:adjustRightInd w:val="0"/>
        <w:spacing w:after="0" w:line="240" w:lineRule="auto"/>
        <w:jc w:val="both"/>
        <w:rPr>
          <w:rFonts w:ascii="MarianneRegular" w:eastAsia="MarianneBold" w:hAnsi="MarianneRegular" w:cs="MarianneRegular"/>
          <w:color w:val="000000"/>
        </w:rPr>
      </w:pPr>
      <w:r>
        <w:rPr>
          <w:rFonts w:ascii="MarianneRegular" w:eastAsia="MarianneBold" w:hAnsi="MarianneRegular" w:cs="MarianneRegular"/>
          <w:color w:val="000000"/>
        </w:rPr>
        <w:t>L’article 88 du décret n° 2022-1605 du 22 décembre 2022 portant application de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l'ordonnance n° 2022-408 du 23 mars 2022 relative au régime de responsabilité financière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des gestionnaires publics et modifiant diverses dispositions relatives aux comptables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publics pris en application de l’article 31 précité de l’ordonnance, a ainsi prévu un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mécanisme d’information de l’AFCM par la DGFiP et la Cour des comptes permettant à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l’AFCM de rembourser, en masse et sans formalité, son fonds de réserve. Le comptable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public doit uniquement adresser à l’AFCM une simple demande avec un RIB.</w:t>
      </w:r>
    </w:p>
    <w:p w14:paraId="71203912" w14:textId="77777777" w:rsidR="00D706FD" w:rsidRDefault="00D706FD" w:rsidP="00D706FD">
      <w:pPr>
        <w:autoSpaceDE w:val="0"/>
        <w:autoSpaceDN w:val="0"/>
        <w:adjustRightInd w:val="0"/>
        <w:spacing w:after="0" w:line="240" w:lineRule="auto"/>
        <w:jc w:val="both"/>
        <w:rPr>
          <w:rFonts w:ascii="MarianneRegular" w:eastAsia="MarianneBold" w:hAnsi="MarianneRegular" w:cs="MarianneRegular"/>
          <w:color w:val="000000"/>
        </w:rPr>
      </w:pPr>
    </w:p>
    <w:p w14:paraId="57E0D483" w14:textId="7BBBF2B9" w:rsidR="00D706FD" w:rsidRDefault="00D706FD" w:rsidP="00D706FD">
      <w:pPr>
        <w:autoSpaceDE w:val="0"/>
        <w:autoSpaceDN w:val="0"/>
        <w:adjustRightInd w:val="0"/>
        <w:spacing w:after="0" w:line="240" w:lineRule="auto"/>
        <w:jc w:val="both"/>
        <w:rPr>
          <w:rFonts w:ascii="MarianneRegular" w:eastAsia="MarianneBold" w:hAnsi="MarianneRegular" w:cs="MarianneRegular"/>
          <w:color w:val="000000"/>
        </w:rPr>
      </w:pPr>
      <w:r>
        <w:rPr>
          <w:rFonts w:ascii="MarianneRegular" w:eastAsia="MarianneBold" w:hAnsi="MarianneRegular" w:cs="MarianneRegular"/>
          <w:color w:val="000000"/>
        </w:rPr>
        <w:t>Cette décharge « de plein droit » des agents comptables dans les conditions rappelées ci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avant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 xml:space="preserve">n’engendrent aucune autre conséquence notamment en termes de gestion </w:t>
      </w:r>
      <w:r>
        <w:rPr>
          <w:rFonts w:ascii="MarianneBold" w:eastAsia="MarianneBold" w:cs="MarianneBold"/>
          <w:b/>
          <w:bCs/>
          <w:color w:val="000000"/>
        </w:rPr>
        <w:t>des</w:t>
      </w:r>
      <w:r>
        <w:rPr>
          <w:rFonts w:ascii="MarianneBold" w:eastAsia="MarianneBold" w:cs="MarianneBold"/>
          <w:b/>
          <w:bCs/>
          <w:color w:val="000000"/>
        </w:rPr>
        <w:t xml:space="preserve"> </w:t>
      </w:r>
      <w:r>
        <w:rPr>
          <w:rFonts w:ascii="MarianneBold" w:eastAsia="MarianneBold" w:cs="MarianneBold"/>
          <w:b/>
          <w:bCs/>
          <w:color w:val="000000"/>
        </w:rPr>
        <w:t>archives des documents constitutifs du compte financier, des actes de gestion, ainsi que</w:t>
      </w:r>
      <w:r>
        <w:rPr>
          <w:rFonts w:ascii="MarianneBold" w:eastAsia="MarianneBold" w:cs="MarianneBold"/>
          <w:b/>
          <w:bCs/>
          <w:color w:val="000000"/>
        </w:rPr>
        <w:t xml:space="preserve"> </w:t>
      </w:r>
      <w:r>
        <w:rPr>
          <w:rFonts w:ascii="MarianneBold" w:eastAsia="MarianneBold" w:cs="MarianneBold"/>
          <w:b/>
          <w:bCs/>
          <w:color w:val="000000"/>
        </w:rPr>
        <w:t>des pi</w:t>
      </w:r>
      <w:r>
        <w:rPr>
          <w:rFonts w:ascii="MarianneBold" w:eastAsia="MarianneBold" w:cs="MarianneBold"/>
          <w:b/>
          <w:bCs/>
          <w:color w:val="000000"/>
        </w:rPr>
        <w:t>è</w:t>
      </w:r>
      <w:r>
        <w:rPr>
          <w:rFonts w:ascii="MarianneBold" w:eastAsia="MarianneBold" w:cs="MarianneBold"/>
          <w:b/>
          <w:bCs/>
          <w:color w:val="000000"/>
        </w:rPr>
        <w:t xml:space="preserve">ces justificatives </w:t>
      </w:r>
      <w:r>
        <w:rPr>
          <w:rFonts w:ascii="MarianneRegular" w:eastAsia="MarianneBold" w:hAnsi="MarianneRegular" w:cs="MarianneRegular"/>
          <w:color w:val="000000"/>
        </w:rPr>
        <w:t>sur les exercices antérieurs à la réforme.</w:t>
      </w:r>
    </w:p>
    <w:p w14:paraId="1CD85078" w14:textId="77777777" w:rsidR="00D706FD" w:rsidRDefault="00D706FD" w:rsidP="00D706FD">
      <w:pPr>
        <w:autoSpaceDE w:val="0"/>
        <w:autoSpaceDN w:val="0"/>
        <w:adjustRightInd w:val="0"/>
        <w:spacing w:after="0" w:line="240" w:lineRule="auto"/>
        <w:rPr>
          <w:rFonts w:ascii="MarianneRegular" w:eastAsia="MarianneBold" w:hAnsi="MarianneRegular" w:cs="MarianneRegular"/>
          <w:color w:val="000000"/>
        </w:rPr>
      </w:pPr>
    </w:p>
    <w:p w14:paraId="58E1C049" w14:textId="27E9FB3B" w:rsidR="00D706FD" w:rsidRDefault="00D706FD" w:rsidP="00D706FD">
      <w:pPr>
        <w:autoSpaceDE w:val="0"/>
        <w:autoSpaceDN w:val="0"/>
        <w:adjustRightInd w:val="0"/>
        <w:spacing w:after="0" w:line="240" w:lineRule="auto"/>
        <w:jc w:val="both"/>
        <w:rPr>
          <w:rFonts w:ascii="MarianneRegular" w:eastAsia="MarianneBold" w:hAnsi="MarianneRegular" w:cs="MarianneRegular"/>
          <w:color w:val="000000"/>
        </w:rPr>
      </w:pPr>
      <w:r>
        <w:rPr>
          <w:rFonts w:ascii="MarianneRegular" w:eastAsia="MarianneBold" w:hAnsi="MarianneRegular" w:cs="MarianneRegular"/>
          <w:color w:val="000000"/>
        </w:rPr>
        <w:t xml:space="preserve">Ainsi, cette décharge ou quitus n’a pas pour effet de donner droit à archivage </w:t>
      </w:r>
      <w:r>
        <w:rPr>
          <w:rFonts w:ascii="MarianneRegular" w:eastAsia="MarianneBold" w:hAnsi="MarianneRegular" w:cs="MarianneRegular"/>
          <w:color w:val="000000"/>
        </w:rPr>
        <w:t xml:space="preserve">où </w:t>
      </w:r>
      <w:r>
        <w:rPr>
          <w:rFonts w:ascii="MarianneRegular" w:eastAsia="MarianneBold" w:hAnsi="MarianneRegular" w:cs="MarianneRegular"/>
          <w:color w:val="000000"/>
        </w:rPr>
        <w:t>destruction des comptes et de leurs pièces justificatives des exercices pour lesquels les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comptables ont obtenu décharge et/ou quitus par détermination de l’ordonnance et de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son décret d’application.</w:t>
      </w:r>
    </w:p>
    <w:p w14:paraId="0F129BD1" w14:textId="77777777" w:rsidR="00D706FD" w:rsidRDefault="00D706FD" w:rsidP="00D706FD">
      <w:pPr>
        <w:autoSpaceDE w:val="0"/>
        <w:autoSpaceDN w:val="0"/>
        <w:adjustRightInd w:val="0"/>
        <w:spacing w:after="0" w:line="240" w:lineRule="auto"/>
        <w:rPr>
          <w:rFonts w:ascii="MarianneRegular" w:eastAsia="MarianneBold" w:hAnsi="MarianneRegular" w:cs="MarianneRegular"/>
          <w:color w:val="000000"/>
        </w:rPr>
      </w:pPr>
    </w:p>
    <w:p w14:paraId="3355E60B" w14:textId="1F97BEBC" w:rsidR="00D706FD" w:rsidRDefault="00D706FD" w:rsidP="00D706FD">
      <w:pPr>
        <w:autoSpaceDE w:val="0"/>
        <w:autoSpaceDN w:val="0"/>
        <w:adjustRightInd w:val="0"/>
        <w:spacing w:after="0" w:line="240" w:lineRule="auto"/>
        <w:jc w:val="both"/>
        <w:rPr>
          <w:rFonts w:ascii="MarianneRegular" w:eastAsia="MarianneBold" w:hAnsi="MarianneRegular" w:cs="MarianneRegular"/>
          <w:color w:val="000000"/>
        </w:rPr>
      </w:pPr>
      <w:r>
        <w:rPr>
          <w:rFonts w:ascii="MarianneRegular" w:eastAsia="MarianneBold" w:hAnsi="MarianneRegular" w:cs="MarianneRegular"/>
          <w:color w:val="000000"/>
        </w:rPr>
        <w:t>Le délai de conservation des comptes et pièces justificatives nécessaires à la mise en</w:t>
      </w:r>
      <w:r>
        <w:rPr>
          <w:rFonts w:ascii="MarianneRegular" w:eastAsia="MarianneBold" w:hAnsi="MarianneRegular" w:cs="MarianneRegular"/>
          <w:color w:val="000000"/>
        </w:rPr>
        <w:t xml:space="preserve"> œuvre</w:t>
      </w:r>
      <w:r>
        <w:rPr>
          <w:rFonts w:ascii="MarianneRegular" w:eastAsia="MarianneBold" w:hAnsi="MarianneRegular" w:cs="MarianneRegular"/>
          <w:color w:val="000000"/>
        </w:rPr>
        <w:t xml:space="preserve"> du régime de responsabilité des gestionnaires publics s’applique et se substitue, le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cas échéant, à celui relatif au régime de responsabilité personnelle et pécuniaire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 xml:space="preserve">désormais abrogé. Ainsi, en considération des dispositions des articles </w:t>
      </w:r>
      <w:r>
        <w:rPr>
          <w:rFonts w:ascii="MarianneRegular" w:eastAsia="MarianneBold" w:hAnsi="MarianneRegular" w:cs="MarianneRegular"/>
          <w:color w:val="000081"/>
        </w:rPr>
        <w:t xml:space="preserve">L.142-1-3 </w:t>
      </w:r>
      <w:r>
        <w:rPr>
          <w:rFonts w:ascii="MarianneRegular" w:eastAsia="MarianneBold" w:hAnsi="MarianneRegular" w:cs="MarianneRegular"/>
          <w:color w:val="000000"/>
        </w:rPr>
        <w:t xml:space="preserve">du </w:t>
      </w:r>
      <w:r>
        <w:rPr>
          <w:rFonts w:ascii="MarianneRegular" w:eastAsia="MarianneBold" w:hAnsi="MarianneRegular" w:cs="MarianneRegular"/>
          <w:color w:val="000081"/>
        </w:rPr>
        <w:t>code</w:t>
      </w:r>
      <w:r>
        <w:rPr>
          <w:rFonts w:ascii="MarianneRegular" w:eastAsia="MarianneBold" w:hAnsi="MarianneRegular" w:cs="MarianneRegular"/>
          <w:color w:val="000081"/>
        </w:rPr>
        <w:t xml:space="preserve"> </w:t>
      </w:r>
      <w:r>
        <w:rPr>
          <w:rFonts w:ascii="MarianneRegular" w:eastAsia="MarianneBold" w:hAnsi="MarianneRegular" w:cs="MarianneRegular"/>
          <w:color w:val="000081"/>
        </w:rPr>
        <w:t xml:space="preserve">des juridictions financières </w:t>
      </w:r>
      <w:r>
        <w:rPr>
          <w:rFonts w:ascii="MarianneRegular" w:eastAsia="MarianneBold" w:hAnsi="MarianneRegular" w:cs="MarianneRegular"/>
          <w:color w:val="000000"/>
        </w:rPr>
        <w:t xml:space="preserve">et </w:t>
      </w:r>
      <w:r>
        <w:rPr>
          <w:rFonts w:ascii="MarianneRegular" w:eastAsia="MarianneBold" w:hAnsi="MarianneRegular" w:cs="MarianneRegular"/>
          <w:color w:val="000081"/>
        </w:rPr>
        <w:t>52 du décret n°2012-1246 du 7 novembre 2012</w:t>
      </w:r>
      <w:r>
        <w:rPr>
          <w:rFonts w:ascii="MarianneRegular" w:eastAsia="MarianneBold" w:hAnsi="MarianneRegular" w:cs="MarianneRegular"/>
          <w:color w:val="000000"/>
        </w:rPr>
        <w:t>, les pièces</w:t>
      </w:r>
      <w:r>
        <w:rPr>
          <w:rFonts w:ascii="MarianneRegular" w:eastAsia="MarianneBold" w:hAnsi="MarianneRegular" w:cs="MarianneRegular"/>
          <w:color w:val="000000"/>
        </w:rPr>
        <w:t xml:space="preserve"> </w:t>
      </w:r>
      <w:r>
        <w:rPr>
          <w:rFonts w:ascii="MarianneRegular" w:eastAsia="MarianneBold" w:hAnsi="MarianneRegular" w:cs="MarianneRegular"/>
          <w:color w:val="000000"/>
        </w:rPr>
        <w:t>justificatives des opérations de dépenses et recettes doivent être "</w:t>
      </w:r>
      <w:r>
        <w:rPr>
          <w:rFonts w:ascii="MarianneRegular" w:eastAsia="MarianneBold" w:hAnsi="MarianneRegular" w:cs="MarianneRegular"/>
          <w:color w:val="000000"/>
          <w:sz w:val="23"/>
          <w:szCs w:val="23"/>
        </w:rPr>
        <w:t>conservées jusqu'au 31</w:t>
      </w:r>
      <w:r>
        <w:rPr>
          <w:rFonts w:ascii="MarianneRegular" w:eastAsia="MarianneBold" w:hAnsi="MarianneRegular" w:cs="MarianneRegular"/>
          <w:color w:val="000000"/>
          <w:sz w:val="23"/>
          <w:szCs w:val="23"/>
        </w:rPr>
        <w:t xml:space="preserve"> </w:t>
      </w:r>
      <w:r>
        <w:rPr>
          <w:rFonts w:ascii="MarianneRegular" w:eastAsia="MarianneBold" w:hAnsi="MarianneRegular" w:cs="MarianneRegular"/>
          <w:color w:val="000000"/>
          <w:sz w:val="23"/>
          <w:szCs w:val="23"/>
        </w:rPr>
        <w:t>décembre inclus de la cinquième année suivant la date d'exécution de l'opération qu'elles</w:t>
      </w:r>
      <w:r>
        <w:rPr>
          <w:rFonts w:ascii="MarianneRegular" w:eastAsia="MarianneBold" w:hAnsi="MarianneRegular" w:cs="MarianneRegular"/>
          <w:color w:val="000000"/>
          <w:sz w:val="23"/>
          <w:szCs w:val="23"/>
        </w:rPr>
        <w:t xml:space="preserve"> </w:t>
      </w:r>
      <w:r>
        <w:rPr>
          <w:rFonts w:ascii="MarianneRegular" w:eastAsia="MarianneBold" w:hAnsi="MarianneRegular" w:cs="MarianneRegular"/>
          <w:color w:val="000000"/>
          <w:sz w:val="23"/>
          <w:szCs w:val="23"/>
        </w:rPr>
        <w:t>justifient</w:t>
      </w:r>
      <w:r>
        <w:rPr>
          <w:rFonts w:ascii="MarianneRegular" w:eastAsia="MarianneBold" w:hAnsi="MarianneRegular" w:cs="MarianneRegular"/>
          <w:color w:val="000000"/>
        </w:rPr>
        <w:t>".</w:t>
      </w:r>
    </w:p>
    <w:p w14:paraId="3C90EB81" w14:textId="57F05B38" w:rsidR="00EC47A3" w:rsidRDefault="00EC47A3" w:rsidP="00D706FD">
      <w:pPr>
        <w:spacing w:after="0" w:line="240" w:lineRule="auto"/>
        <w:jc w:val="both"/>
        <w:rPr>
          <w:rFonts w:ascii="ArialMT" w:eastAsia="MarianneBold" w:hAnsi="ArialMT" w:cs="ArialMT"/>
          <w:color w:val="000000"/>
        </w:rPr>
      </w:pPr>
    </w:p>
    <w:p w14:paraId="70B847A7" w14:textId="1A28D9A9" w:rsidR="00D706FD" w:rsidRDefault="00D706FD" w:rsidP="00D706FD">
      <w:pPr>
        <w:autoSpaceDE w:val="0"/>
        <w:autoSpaceDN w:val="0"/>
        <w:adjustRightInd w:val="0"/>
        <w:spacing w:after="0" w:line="240" w:lineRule="auto"/>
        <w:jc w:val="both"/>
        <w:rPr>
          <w:rFonts w:ascii="MarianneRegular" w:hAnsi="MarianneRegular" w:cs="MarianneRegular"/>
          <w:color w:val="000000"/>
        </w:rPr>
      </w:pPr>
      <w:r>
        <w:rPr>
          <w:rFonts w:ascii="MarianneRegular" w:hAnsi="MarianneRegular" w:cs="MarianneRegular"/>
          <w:color w:val="000000"/>
        </w:rPr>
        <w:t>Ainsi, pour les opérations de l’exercice 2018, le compte et ses pièces justificatives doivent</w:t>
      </w:r>
      <w:r>
        <w:rPr>
          <w:rFonts w:ascii="MarianneRegular" w:hAnsi="MarianneRegular" w:cs="MarianneRegular"/>
          <w:color w:val="000000"/>
        </w:rPr>
        <w:t xml:space="preserve"> </w:t>
      </w:r>
      <w:r>
        <w:rPr>
          <w:rFonts w:ascii="MarianneRegular" w:hAnsi="MarianneRegular" w:cs="MarianneRegular"/>
          <w:color w:val="000000"/>
        </w:rPr>
        <w:t>être conservés jusqu’au 31 décembre 2023. Corrélativement, les comptes des exercices</w:t>
      </w:r>
      <w:r>
        <w:rPr>
          <w:rFonts w:ascii="MarianneRegular" w:hAnsi="MarianneRegular" w:cs="MarianneRegular"/>
          <w:color w:val="000000"/>
        </w:rPr>
        <w:t xml:space="preserve"> </w:t>
      </w:r>
      <w:r>
        <w:rPr>
          <w:rFonts w:ascii="MarianneRegular" w:hAnsi="MarianneRegular" w:cs="MarianneRegular"/>
          <w:color w:val="000000"/>
        </w:rPr>
        <w:t>antérieurs à 2017 peuvent faire l’objet d’un désarchivage sauf si une instance dans le cadre</w:t>
      </w:r>
      <w:r>
        <w:rPr>
          <w:rFonts w:ascii="MarianneRegular" w:hAnsi="MarianneRegular" w:cs="MarianneRegular"/>
          <w:color w:val="000000"/>
        </w:rPr>
        <w:t xml:space="preserve"> </w:t>
      </w:r>
      <w:r>
        <w:rPr>
          <w:rFonts w:ascii="MarianneRegular" w:hAnsi="MarianneRegular" w:cs="MarianneRegular"/>
          <w:color w:val="000000"/>
        </w:rPr>
        <w:t>du régime RGP a été ouverte par la CDBF avant le 1</w:t>
      </w:r>
      <w:r>
        <w:rPr>
          <w:rFonts w:ascii="MarianneRegular" w:hAnsi="MarianneRegular" w:cs="MarianneRegular"/>
          <w:color w:val="000000"/>
          <w:sz w:val="13"/>
          <w:szCs w:val="13"/>
        </w:rPr>
        <w:t xml:space="preserve">er </w:t>
      </w:r>
      <w:r>
        <w:rPr>
          <w:rFonts w:ascii="MarianneRegular" w:hAnsi="MarianneRegular" w:cs="MarianneRegular"/>
          <w:color w:val="000000"/>
        </w:rPr>
        <w:t>janvier 2023 et reprise depuis par la</w:t>
      </w:r>
      <w:r>
        <w:rPr>
          <w:rFonts w:ascii="MarianneRegular" w:hAnsi="MarianneRegular" w:cs="MarianneRegular"/>
          <w:color w:val="000000"/>
        </w:rPr>
        <w:t xml:space="preserve"> </w:t>
      </w:r>
      <w:r>
        <w:rPr>
          <w:rFonts w:ascii="MarianneRegular" w:hAnsi="MarianneRegular" w:cs="MarianneRegular"/>
          <w:color w:val="000000"/>
        </w:rPr>
        <w:t>Cour des comptes depuis le 1</w:t>
      </w:r>
      <w:r>
        <w:rPr>
          <w:rFonts w:ascii="MarianneRegular" w:hAnsi="MarianneRegular" w:cs="MarianneRegular"/>
          <w:color w:val="000000"/>
          <w:sz w:val="13"/>
          <w:szCs w:val="13"/>
        </w:rPr>
        <w:t xml:space="preserve">er </w:t>
      </w:r>
      <w:r>
        <w:rPr>
          <w:rFonts w:ascii="MarianneRegular" w:hAnsi="MarianneRegular" w:cs="MarianneRegular"/>
          <w:color w:val="000000"/>
        </w:rPr>
        <w:t>janvier 2023. Cette durée liée à l’application de la</w:t>
      </w:r>
      <w:r>
        <w:rPr>
          <w:rFonts w:ascii="MarianneRegular" w:hAnsi="MarianneRegular" w:cs="MarianneRegular"/>
          <w:color w:val="000000"/>
        </w:rPr>
        <w:t xml:space="preserve"> </w:t>
      </w:r>
      <w:r>
        <w:rPr>
          <w:rFonts w:ascii="MarianneRegular" w:hAnsi="MarianneRegular" w:cs="MarianneRegular"/>
          <w:color w:val="000000"/>
        </w:rPr>
        <w:t>responsabilité des gestionnaires publics ne se substitue pas aux durées d'utilité</w:t>
      </w:r>
      <w:r>
        <w:rPr>
          <w:rFonts w:ascii="MarianneRegular" w:hAnsi="MarianneRegular" w:cs="MarianneRegular"/>
          <w:color w:val="000000"/>
        </w:rPr>
        <w:t xml:space="preserve"> </w:t>
      </w:r>
      <w:r>
        <w:rPr>
          <w:rFonts w:ascii="MarianneRegular" w:hAnsi="MarianneRegular" w:cs="MarianneRegular"/>
          <w:color w:val="000000"/>
        </w:rPr>
        <w:t>administrative supérieures propres à certaines pièces (ex. un relevé BDF 10 ans) qui</w:t>
      </w:r>
      <w:r>
        <w:rPr>
          <w:rFonts w:ascii="MarianneRegular" w:hAnsi="MarianneRegular" w:cs="MarianneRegular"/>
          <w:color w:val="000000"/>
        </w:rPr>
        <w:t xml:space="preserve"> </w:t>
      </w:r>
      <w:r>
        <w:rPr>
          <w:rFonts w:ascii="MarianneRegular" w:hAnsi="MarianneRegular" w:cs="MarianneRegular"/>
          <w:color w:val="000000"/>
        </w:rPr>
        <w:t>demeurent.</w:t>
      </w:r>
    </w:p>
    <w:p w14:paraId="7EB780CB" w14:textId="77777777" w:rsidR="00D706FD" w:rsidRDefault="00D706FD" w:rsidP="00D706FD">
      <w:pPr>
        <w:autoSpaceDE w:val="0"/>
        <w:autoSpaceDN w:val="0"/>
        <w:adjustRightInd w:val="0"/>
        <w:spacing w:after="0" w:line="240" w:lineRule="auto"/>
        <w:rPr>
          <w:rFonts w:ascii="MarianneRegular" w:hAnsi="MarianneRegular" w:cs="MarianneRegular"/>
          <w:color w:val="000000"/>
        </w:rPr>
      </w:pPr>
    </w:p>
    <w:p w14:paraId="236D44CB" w14:textId="68B8A2D5" w:rsidR="00D706FD" w:rsidRDefault="00D706FD" w:rsidP="00D706FD">
      <w:pPr>
        <w:autoSpaceDE w:val="0"/>
        <w:autoSpaceDN w:val="0"/>
        <w:adjustRightInd w:val="0"/>
        <w:spacing w:after="0" w:line="240" w:lineRule="auto"/>
        <w:jc w:val="both"/>
        <w:rPr>
          <w:rFonts w:ascii="MarianneBold" w:eastAsia="MarianneBold" w:hAnsi="MarianneRegular" w:cs="MarianneBold"/>
          <w:b/>
          <w:bCs/>
          <w:color w:val="000000"/>
        </w:rPr>
      </w:pPr>
      <w:r>
        <w:rPr>
          <w:rFonts w:ascii="MarianneRegular" w:hAnsi="MarianneRegular" w:cs="MarianneRegular"/>
          <w:color w:val="000000"/>
        </w:rPr>
        <w:t xml:space="preserve">À l’expiration de ces durées d’archivage, </w:t>
      </w:r>
      <w:r>
        <w:rPr>
          <w:rFonts w:ascii="MarianneBold" w:eastAsia="MarianneBold" w:hAnsi="MarianneRegular" w:cs="MarianneBold"/>
          <w:b/>
          <w:bCs/>
          <w:color w:val="000000"/>
        </w:rPr>
        <w:t>il convient de v</w:t>
      </w:r>
      <w:r>
        <w:rPr>
          <w:rFonts w:ascii="MarianneBold" w:eastAsia="MarianneBold" w:hAnsi="MarianneRegular" w:cs="MarianneBold"/>
          <w:b/>
          <w:bCs/>
          <w:color w:val="000000"/>
        </w:rPr>
        <w:t>é</w:t>
      </w:r>
      <w:r>
        <w:rPr>
          <w:rFonts w:ascii="MarianneBold" w:eastAsia="MarianneBold" w:hAnsi="MarianneRegular" w:cs="MarianneBold"/>
          <w:b/>
          <w:bCs/>
          <w:color w:val="000000"/>
        </w:rPr>
        <w:t>rifier aupr</w:t>
      </w:r>
      <w:r>
        <w:rPr>
          <w:rFonts w:ascii="MarianneBold" w:eastAsia="MarianneBold" w:hAnsi="MarianneRegular" w:cs="MarianneBold"/>
          <w:b/>
          <w:bCs/>
          <w:color w:val="000000"/>
        </w:rPr>
        <w:t>è</w:t>
      </w:r>
      <w:r>
        <w:rPr>
          <w:rFonts w:ascii="MarianneBold" w:eastAsia="MarianneBold" w:hAnsi="MarianneRegular" w:cs="MarianneBold"/>
          <w:b/>
          <w:bCs/>
          <w:color w:val="000000"/>
        </w:rPr>
        <w:t>s des services</w:t>
      </w:r>
      <w:r>
        <w:rPr>
          <w:rFonts w:ascii="MarianneBold" w:eastAsia="MarianneBold" w:hAnsi="MarianneRegular" w:cs="MarianneBold"/>
          <w:b/>
          <w:bCs/>
          <w:color w:val="000000"/>
        </w:rPr>
        <w:t xml:space="preserve"> </w:t>
      </w:r>
      <w:r>
        <w:rPr>
          <w:rFonts w:ascii="MarianneBold" w:eastAsia="MarianneBold" w:hAnsi="MarianneRegular" w:cs="MarianneBold"/>
          <w:b/>
          <w:bCs/>
          <w:color w:val="000000"/>
        </w:rPr>
        <w:t>administratifs de l</w:t>
      </w:r>
      <w:r>
        <w:rPr>
          <w:rFonts w:ascii="MarianneBold" w:eastAsia="MarianneBold" w:hAnsi="MarianneRegular" w:cs="MarianneBold" w:hint="eastAsia"/>
          <w:b/>
          <w:bCs/>
          <w:color w:val="000000"/>
        </w:rPr>
        <w:t>’</w:t>
      </w:r>
      <w:r>
        <w:rPr>
          <w:rFonts w:ascii="MarianneBold" w:eastAsia="MarianneBold" w:hAnsi="MarianneRegular" w:cs="MarianneBold"/>
          <w:b/>
          <w:bCs/>
          <w:color w:val="000000"/>
        </w:rPr>
        <w:t>organisme les conditions de versement et/ou de destruction des</w:t>
      </w:r>
    </w:p>
    <w:p w14:paraId="6AB2E48A" w14:textId="4DA7552C" w:rsidR="00D706FD" w:rsidRDefault="00D706FD" w:rsidP="00D706FD">
      <w:pPr>
        <w:autoSpaceDE w:val="0"/>
        <w:autoSpaceDN w:val="0"/>
        <w:adjustRightInd w:val="0"/>
        <w:spacing w:after="0" w:line="240" w:lineRule="auto"/>
        <w:jc w:val="both"/>
        <w:rPr>
          <w:rFonts w:ascii="MarianneRegular" w:hAnsi="MarianneRegular" w:cs="MarianneRegular"/>
          <w:color w:val="000000"/>
        </w:rPr>
      </w:pPr>
      <w:r>
        <w:rPr>
          <w:rFonts w:ascii="MarianneBold" w:eastAsia="MarianneBold" w:hAnsi="MarianneRegular" w:cs="MarianneBold"/>
          <w:b/>
          <w:bCs/>
          <w:color w:val="000000"/>
        </w:rPr>
        <w:t>archives d</w:t>
      </w:r>
      <w:r>
        <w:rPr>
          <w:rFonts w:ascii="MarianneBold" w:eastAsia="MarianneBold" w:hAnsi="MarianneRegular" w:cs="MarianneBold"/>
          <w:b/>
          <w:bCs/>
          <w:color w:val="000000"/>
        </w:rPr>
        <w:t>é</w:t>
      </w:r>
      <w:r>
        <w:rPr>
          <w:rFonts w:ascii="MarianneBold" w:eastAsia="MarianneBold" w:hAnsi="MarianneRegular" w:cs="MarianneBold"/>
          <w:b/>
          <w:bCs/>
          <w:color w:val="000000"/>
        </w:rPr>
        <w:t>tenues par l</w:t>
      </w:r>
      <w:r>
        <w:rPr>
          <w:rFonts w:ascii="MarianneBold" w:eastAsia="MarianneBold" w:hAnsi="MarianneRegular" w:cs="MarianneBold" w:hint="eastAsia"/>
          <w:b/>
          <w:bCs/>
          <w:color w:val="000000"/>
        </w:rPr>
        <w:t>’</w:t>
      </w:r>
      <w:r>
        <w:rPr>
          <w:rFonts w:ascii="MarianneBold" w:eastAsia="MarianneBold" w:hAnsi="MarianneRegular" w:cs="MarianneBold"/>
          <w:b/>
          <w:bCs/>
          <w:color w:val="000000"/>
        </w:rPr>
        <w:t>organisme</w:t>
      </w:r>
      <w:r>
        <w:rPr>
          <w:rFonts w:ascii="MarianneRegular" w:hAnsi="MarianneRegular" w:cs="MarianneRegular"/>
          <w:color w:val="000000"/>
        </w:rPr>
        <w:t xml:space="preserve">, conformément à la </w:t>
      </w:r>
      <w:r>
        <w:rPr>
          <w:rFonts w:ascii="MarianneRegular" w:hAnsi="MarianneRegular" w:cs="MarianneRegular"/>
          <w:color w:val="000081"/>
        </w:rPr>
        <w:t>circulaire du 2 novembre 2001</w:t>
      </w:r>
      <w:r>
        <w:rPr>
          <w:rFonts w:ascii="MarianneRegular" w:hAnsi="MarianneRegular" w:cs="MarianneRegular"/>
          <w:color w:val="000081"/>
        </w:rPr>
        <w:t xml:space="preserve"> </w:t>
      </w:r>
      <w:r>
        <w:rPr>
          <w:rFonts w:ascii="MarianneRegular" w:hAnsi="MarianneRegular" w:cs="MarianneRegular"/>
          <w:color w:val="000000"/>
        </w:rPr>
        <w:t>relative à la gestion des archives dans les services et établissements publics de l'État et à la</w:t>
      </w:r>
      <w:r>
        <w:rPr>
          <w:rFonts w:ascii="MarianneRegular" w:hAnsi="MarianneRegular" w:cs="MarianneRegular"/>
          <w:color w:val="000000"/>
        </w:rPr>
        <w:t xml:space="preserve"> </w:t>
      </w:r>
      <w:r>
        <w:rPr>
          <w:rFonts w:ascii="MarianneRegular" w:hAnsi="MarianneRegular" w:cs="MarianneRegular"/>
          <w:color w:val="000081"/>
        </w:rPr>
        <w:t xml:space="preserve">circulaire du 25 novembre 2010 </w:t>
      </w:r>
      <w:r>
        <w:rPr>
          <w:rFonts w:ascii="MarianneRegular" w:hAnsi="MarianneRegular" w:cs="MarianneRegular"/>
          <w:color w:val="000000"/>
        </w:rPr>
        <w:t>sur le contrôle et la collecte des archives des opérateurs</w:t>
      </w:r>
      <w:r>
        <w:rPr>
          <w:rFonts w:ascii="MarianneRegular" w:hAnsi="MarianneRegular" w:cs="MarianneRegular"/>
          <w:color w:val="000000"/>
        </w:rPr>
        <w:t xml:space="preserve"> </w:t>
      </w:r>
      <w:r>
        <w:rPr>
          <w:rFonts w:ascii="MarianneRegular" w:hAnsi="MarianneRegular" w:cs="MarianneRegular"/>
          <w:color w:val="000000"/>
        </w:rPr>
        <w:t>de l'État.</w:t>
      </w:r>
    </w:p>
    <w:p w14:paraId="277B5F90" w14:textId="77777777" w:rsidR="00D706FD" w:rsidRDefault="00D706FD" w:rsidP="00D706FD">
      <w:pPr>
        <w:autoSpaceDE w:val="0"/>
        <w:autoSpaceDN w:val="0"/>
        <w:adjustRightInd w:val="0"/>
        <w:spacing w:after="0" w:line="240" w:lineRule="auto"/>
        <w:jc w:val="both"/>
        <w:rPr>
          <w:rFonts w:ascii="MarianneRegular" w:hAnsi="MarianneRegular" w:cs="MarianneRegular"/>
          <w:color w:val="000000"/>
        </w:rPr>
      </w:pPr>
    </w:p>
    <w:p w14:paraId="610B3671" w14:textId="77777777" w:rsidR="00D706FD" w:rsidRDefault="00D706FD" w:rsidP="00D706FD">
      <w:pPr>
        <w:autoSpaceDE w:val="0"/>
        <w:autoSpaceDN w:val="0"/>
        <w:adjustRightInd w:val="0"/>
        <w:spacing w:after="0" w:line="240" w:lineRule="auto"/>
        <w:rPr>
          <w:rFonts w:ascii="MarianneRegular" w:hAnsi="MarianneRegular" w:cs="MarianneRegular"/>
          <w:color w:val="000000"/>
        </w:rPr>
      </w:pPr>
    </w:p>
    <w:p w14:paraId="6B070E02" w14:textId="2FA82D94" w:rsidR="00D706FD" w:rsidRDefault="00D706FD" w:rsidP="00D706FD">
      <w:pPr>
        <w:autoSpaceDE w:val="0"/>
        <w:autoSpaceDN w:val="0"/>
        <w:adjustRightInd w:val="0"/>
        <w:spacing w:after="0" w:line="240" w:lineRule="auto"/>
        <w:jc w:val="both"/>
        <w:rPr>
          <w:rFonts w:ascii="MarianneRegular" w:hAnsi="MarianneRegular" w:cs="MarianneRegular"/>
          <w:color w:val="000000"/>
        </w:rPr>
      </w:pPr>
      <w:r>
        <w:rPr>
          <w:rFonts w:ascii="MarianneRegular" w:hAnsi="MarianneRegular" w:cs="MarianneRegular"/>
          <w:color w:val="000000"/>
        </w:rPr>
        <w:lastRenderedPageBreak/>
        <w:t>En effet, il est possible qu'une convention par laquelle les archives de l’organisme peuvent</w:t>
      </w:r>
      <w:r>
        <w:rPr>
          <w:rFonts w:ascii="MarianneRegular" w:hAnsi="MarianneRegular" w:cs="MarianneRegular"/>
          <w:color w:val="000000"/>
        </w:rPr>
        <w:t xml:space="preserve"> </w:t>
      </w:r>
      <w:r>
        <w:rPr>
          <w:rFonts w:ascii="MarianneRegular" w:hAnsi="MarianneRegular" w:cs="MarianneRegular"/>
          <w:color w:val="000000"/>
        </w:rPr>
        <w:t>être remises en dépôt à un service départemental d’archives soit en vigueur.</w:t>
      </w:r>
    </w:p>
    <w:p w14:paraId="2308AE41" w14:textId="77777777" w:rsidR="00D706FD" w:rsidRDefault="00D706FD" w:rsidP="00D706FD">
      <w:pPr>
        <w:autoSpaceDE w:val="0"/>
        <w:autoSpaceDN w:val="0"/>
        <w:adjustRightInd w:val="0"/>
        <w:spacing w:after="0" w:line="240" w:lineRule="auto"/>
        <w:rPr>
          <w:rFonts w:ascii="MarianneRegular" w:hAnsi="MarianneRegular" w:cs="MarianneRegular"/>
          <w:color w:val="000000"/>
        </w:rPr>
      </w:pPr>
    </w:p>
    <w:p w14:paraId="04380D14" w14:textId="653D6160" w:rsidR="00D706FD" w:rsidRDefault="00D706FD" w:rsidP="00D706FD">
      <w:pPr>
        <w:autoSpaceDE w:val="0"/>
        <w:autoSpaceDN w:val="0"/>
        <w:adjustRightInd w:val="0"/>
        <w:spacing w:after="0" w:line="240" w:lineRule="auto"/>
        <w:jc w:val="both"/>
        <w:rPr>
          <w:rFonts w:ascii="MarianneRegular" w:hAnsi="MarianneRegular" w:cs="MarianneRegular"/>
          <w:color w:val="000000"/>
        </w:rPr>
      </w:pPr>
      <w:r>
        <w:rPr>
          <w:rFonts w:ascii="MarianneRegular" w:hAnsi="MarianneRegular" w:cs="MarianneRegular"/>
          <w:color w:val="000000"/>
        </w:rPr>
        <w:t>Pour votre complète information, les modalités de conservation et d’archivage seront</w:t>
      </w:r>
      <w:r>
        <w:rPr>
          <w:rFonts w:ascii="MarianneRegular" w:hAnsi="MarianneRegular" w:cs="MarianneRegular"/>
          <w:color w:val="000000"/>
        </w:rPr>
        <w:t xml:space="preserve"> </w:t>
      </w:r>
      <w:r>
        <w:rPr>
          <w:rFonts w:ascii="MarianneRegular" w:hAnsi="MarianneRegular" w:cs="MarianneRegular"/>
          <w:color w:val="000000"/>
        </w:rPr>
        <w:t xml:space="preserve">précisées par </w:t>
      </w:r>
      <w:r>
        <w:rPr>
          <w:rFonts w:ascii="MarianneBold" w:eastAsia="MarianneBold" w:hAnsi="MarianneRegular" w:cs="MarianneBold"/>
          <w:b/>
          <w:bCs/>
          <w:color w:val="000000"/>
        </w:rPr>
        <w:t>un arr</w:t>
      </w:r>
      <w:r>
        <w:rPr>
          <w:rFonts w:ascii="MarianneBold" w:eastAsia="MarianneBold" w:hAnsi="MarianneRegular" w:cs="MarianneBold"/>
          <w:b/>
          <w:bCs/>
          <w:color w:val="000000"/>
        </w:rPr>
        <w:t>ê</w:t>
      </w:r>
      <w:r>
        <w:rPr>
          <w:rFonts w:ascii="MarianneBold" w:eastAsia="MarianneBold" w:hAnsi="MarianneRegular" w:cs="MarianneBold"/>
          <w:b/>
          <w:bCs/>
          <w:color w:val="000000"/>
        </w:rPr>
        <w:t>t</w:t>
      </w:r>
      <w:r>
        <w:rPr>
          <w:rFonts w:ascii="MarianneBold" w:eastAsia="MarianneBold" w:hAnsi="MarianneRegular" w:cs="MarianneBold"/>
          <w:b/>
          <w:bCs/>
          <w:color w:val="000000"/>
        </w:rPr>
        <w:t>é</w:t>
      </w:r>
      <w:r>
        <w:rPr>
          <w:rFonts w:ascii="MarianneBold" w:eastAsia="MarianneBold" w:hAnsi="MarianneRegular" w:cs="MarianneBold"/>
          <w:b/>
          <w:bCs/>
          <w:color w:val="000000"/>
        </w:rPr>
        <w:t xml:space="preserve"> en cours de r</w:t>
      </w:r>
      <w:r>
        <w:rPr>
          <w:rFonts w:ascii="MarianneBold" w:eastAsia="MarianneBold" w:hAnsi="MarianneRegular" w:cs="MarianneBold"/>
          <w:b/>
          <w:bCs/>
          <w:color w:val="000000"/>
        </w:rPr>
        <w:t>éé</w:t>
      </w:r>
      <w:r>
        <w:rPr>
          <w:rFonts w:ascii="MarianneBold" w:eastAsia="MarianneBold" w:hAnsi="MarianneRegular" w:cs="MarianneBold"/>
          <w:b/>
          <w:bCs/>
          <w:color w:val="000000"/>
        </w:rPr>
        <w:t xml:space="preserve">criture </w:t>
      </w:r>
      <w:r>
        <w:rPr>
          <w:rFonts w:ascii="MarianneRegular" w:hAnsi="MarianneRegular" w:cs="MarianneRegular"/>
          <w:color w:val="000000"/>
        </w:rPr>
        <w:t>(fusion de l’arrêté du 10 janvier 2014 modifié</w:t>
      </w:r>
      <w:r>
        <w:rPr>
          <w:rFonts w:ascii="MarianneRegular" w:hAnsi="MarianneRegular" w:cs="MarianneRegular"/>
          <w:color w:val="000000"/>
        </w:rPr>
        <w:t xml:space="preserve"> </w:t>
      </w:r>
      <w:r>
        <w:rPr>
          <w:rFonts w:ascii="MarianneRegular" w:hAnsi="MarianneRegular" w:cs="MarianneRegular"/>
          <w:color w:val="000000"/>
        </w:rPr>
        <w:t>fixant la liste des documents transmis au juge des comptes en application de l'article 214</w:t>
      </w:r>
      <w:r>
        <w:rPr>
          <w:rFonts w:ascii="MarianneRegular" w:hAnsi="MarianneRegular" w:cs="MarianneRegular"/>
          <w:color w:val="000000"/>
        </w:rPr>
        <w:t xml:space="preserve"> </w:t>
      </w:r>
      <w:r>
        <w:rPr>
          <w:rFonts w:ascii="MarianneRegular" w:hAnsi="MarianneRegular" w:cs="MarianneRegular"/>
          <w:color w:val="000000"/>
        </w:rPr>
        <w:t>du décret n° 2012-1246 du 7 novembre 2012 relatif à la gestion budgétaire et comptable</w:t>
      </w:r>
      <w:r>
        <w:rPr>
          <w:rFonts w:ascii="MarianneRegular" w:hAnsi="MarianneRegular" w:cs="MarianneRegular"/>
          <w:color w:val="000000"/>
        </w:rPr>
        <w:t xml:space="preserve"> </w:t>
      </w:r>
      <w:r>
        <w:rPr>
          <w:rFonts w:ascii="MarianneRegular" w:hAnsi="MarianneRegular" w:cs="MarianneRegular"/>
          <w:color w:val="000000"/>
        </w:rPr>
        <w:t>publique et de l’arrêté du 7 octobre 2015 relatif aux conditions d'établissement, de</w:t>
      </w:r>
      <w:r>
        <w:rPr>
          <w:rFonts w:ascii="MarianneRegular" w:hAnsi="MarianneRegular" w:cs="MarianneRegular"/>
          <w:color w:val="000000"/>
        </w:rPr>
        <w:t xml:space="preserve"> </w:t>
      </w:r>
      <w:r>
        <w:rPr>
          <w:rFonts w:ascii="MarianneRegular" w:hAnsi="MarianneRegular" w:cs="MarianneRegular"/>
          <w:color w:val="000000"/>
        </w:rPr>
        <w:t>conservation et de transmission sous forme dématérialisée des documents et pièces</w:t>
      </w:r>
      <w:r>
        <w:rPr>
          <w:rFonts w:ascii="MarianneRegular" w:hAnsi="MarianneRegular" w:cs="MarianneRegular"/>
          <w:color w:val="000000"/>
        </w:rPr>
        <w:t xml:space="preserve"> </w:t>
      </w:r>
      <w:r>
        <w:rPr>
          <w:rFonts w:ascii="MarianneRegular" w:hAnsi="MarianneRegular" w:cs="MarianneRegular"/>
          <w:color w:val="000000"/>
        </w:rPr>
        <w:t>justificatives des opérations des organismes publics pris en application du décret n° 2012-</w:t>
      </w:r>
      <w:r>
        <w:rPr>
          <w:rFonts w:ascii="MarianneRegular" w:hAnsi="MarianneRegular" w:cs="MarianneRegular"/>
          <w:color w:val="000000"/>
        </w:rPr>
        <w:t xml:space="preserve"> </w:t>
      </w:r>
      <w:r>
        <w:rPr>
          <w:rFonts w:ascii="MarianneRegular" w:hAnsi="MarianneRegular" w:cs="MarianneRegular"/>
          <w:color w:val="000000"/>
        </w:rPr>
        <w:t>1246 du 7 novembre 2012 relatif à la gestion budgétaire et comptable publique).</w:t>
      </w:r>
    </w:p>
    <w:p w14:paraId="4CE8E198" w14:textId="1F11AB10" w:rsidR="00D706FD" w:rsidRDefault="00D706FD" w:rsidP="00D706FD">
      <w:pPr>
        <w:spacing w:after="0" w:line="240" w:lineRule="auto"/>
        <w:jc w:val="both"/>
      </w:pPr>
    </w:p>
    <w:sectPr w:rsidR="00D706FD" w:rsidSect="00D706FD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ianneBold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arianne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6FD"/>
    <w:rsid w:val="000138EA"/>
    <w:rsid w:val="001636FB"/>
    <w:rsid w:val="005C5CE8"/>
    <w:rsid w:val="00D706FD"/>
    <w:rsid w:val="00EC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FAF0F"/>
  <w15:chartTrackingRefBased/>
  <w15:docId w15:val="{F60742B7-8932-4735-930B-DCFEF662E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784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Damé Yves</dc:creator>
  <cp:keywords/>
  <dc:description/>
  <cp:lastModifiedBy>Damé Yves</cp:lastModifiedBy>
  <cp:revision>1</cp:revision>
  <dcterms:created xsi:type="dcterms:W3CDTF">2023-06-13T12:31:00Z</dcterms:created>
  <dcterms:modified xsi:type="dcterms:W3CDTF">2023-06-13T12:47:00Z</dcterms:modified>
</cp:coreProperties>
</file>