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4F09D3" w14:textId="374220CF" w:rsidR="00BD434F" w:rsidRPr="00E755A4" w:rsidRDefault="00E755A4" w:rsidP="00E755A4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b/>
          <w:bCs/>
          <w:color w:val="7030A0"/>
          <w:kern w:val="0"/>
          <w:sz w:val="28"/>
          <w:szCs w:val="28"/>
        </w:rPr>
      </w:pPr>
      <w:r w:rsidRPr="00E755A4">
        <w:rPr>
          <w:rFonts w:cs="TimesNewRomanPSMT"/>
          <w:b/>
          <w:bCs/>
          <w:color w:val="7030A0"/>
          <w:kern w:val="0"/>
          <w:sz w:val="28"/>
          <w:szCs w:val="28"/>
        </w:rPr>
        <w:t>La</w:t>
      </w:r>
      <w:r w:rsidRPr="00E755A4">
        <w:rPr>
          <w:rFonts w:cs="TimesNewRomanPSMT"/>
          <w:b/>
          <w:bCs/>
          <w:color w:val="7030A0"/>
          <w:kern w:val="0"/>
          <w:sz w:val="28"/>
          <w:szCs w:val="28"/>
        </w:rPr>
        <w:t xml:space="preserve"> prescription d'une créance par le débiteur</w:t>
      </w:r>
      <w:r w:rsidRPr="00E755A4">
        <w:rPr>
          <w:rFonts w:cs="TimesNewRomanPSMT"/>
          <w:b/>
          <w:bCs/>
          <w:color w:val="7030A0"/>
          <w:kern w:val="0"/>
          <w:sz w:val="28"/>
          <w:szCs w:val="28"/>
        </w:rPr>
        <w:t xml:space="preserve"> </w:t>
      </w:r>
      <w:r w:rsidRPr="00E755A4">
        <w:rPr>
          <w:rFonts w:cs="TimesNewRomanPSMT"/>
          <w:b/>
          <w:bCs/>
          <w:color w:val="7030A0"/>
          <w:kern w:val="0"/>
          <w:sz w:val="28"/>
          <w:szCs w:val="28"/>
        </w:rPr>
        <w:t>est un préalable obligatoire à une admission en non-valeur.</w:t>
      </w:r>
    </w:p>
    <w:p w14:paraId="722236FD" w14:textId="77777777" w:rsidR="00E755A4" w:rsidRDefault="00E755A4" w:rsidP="00E755A4">
      <w:pPr>
        <w:rPr>
          <w:rFonts w:ascii="TimesNewRomanPSMT" w:hAnsi="TimesNewRomanPSMT" w:cs="TimesNewRomanPSMT"/>
          <w:kern w:val="0"/>
          <w:sz w:val="22"/>
          <w:szCs w:val="22"/>
        </w:rPr>
      </w:pPr>
    </w:p>
    <w:p w14:paraId="33A7B6A0" w14:textId="77777777" w:rsidR="00E755A4" w:rsidRDefault="00E755A4" w:rsidP="00E755A4">
      <w:pPr>
        <w:rPr>
          <w:rFonts w:ascii="TimesNewRomanPSMT" w:hAnsi="TimesNewRomanPSMT" w:cs="TimesNewRomanPSMT"/>
          <w:kern w:val="0"/>
          <w:sz w:val="22"/>
          <w:szCs w:val="22"/>
        </w:rPr>
      </w:pPr>
    </w:p>
    <w:p w14:paraId="18580942" w14:textId="77777777" w:rsidR="00E755A4" w:rsidRDefault="00E755A4" w:rsidP="00E755A4">
      <w:pPr>
        <w:rPr>
          <w:rFonts w:ascii="TimesNewRomanPSMT" w:hAnsi="TimesNewRomanPSMT" w:cs="TimesNewRomanPSMT"/>
          <w:kern w:val="0"/>
          <w:sz w:val="22"/>
          <w:szCs w:val="22"/>
        </w:rPr>
      </w:pPr>
    </w:p>
    <w:p w14:paraId="35DB887D" w14:textId="03521D36" w:rsidR="00E755A4" w:rsidRPr="00E755A4" w:rsidRDefault="00E755A4" w:rsidP="00E755A4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color w:val="000000"/>
          <w:kern w:val="0"/>
        </w:rPr>
      </w:pPr>
      <w:r w:rsidRPr="00E755A4">
        <w:rPr>
          <w:rFonts w:cs="TimesNewRomanPSMT"/>
          <w:color w:val="000000"/>
          <w:kern w:val="0"/>
        </w:rPr>
        <w:t xml:space="preserve">En application des articles </w:t>
      </w:r>
      <w:r w:rsidRPr="00E755A4">
        <w:rPr>
          <w:rFonts w:cs="TimesNewRomanPSMT"/>
          <w:color w:val="000081"/>
          <w:kern w:val="0"/>
        </w:rPr>
        <w:t xml:space="preserve">193 </w:t>
      </w:r>
      <w:r w:rsidRPr="00E755A4">
        <w:rPr>
          <w:rFonts w:cs="TimesNewRomanPSMT"/>
          <w:color w:val="000000"/>
          <w:kern w:val="0"/>
        </w:rPr>
        <w:t xml:space="preserve">du décret GBCP et de l’article </w:t>
      </w:r>
      <w:r w:rsidRPr="00E755A4">
        <w:rPr>
          <w:rFonts w:cs="TimesNewRomanPSMT"/>
          <w:color w:val="000081"/>
          <w:kern w:val="0"/>
        </w:rPr>
        <w:t xml:space="preserve">R. 276-2 </w:t>
      </w:r>
      <w:r w:rsidRPr="00E755A4">
        <w:rPr>
          <w:rFonts w:cs="TimesNewRomanPSMT"/>
          <w:color w:val="000000"/>
          <w:kern w:val="0"/>
        </w:rPr>
        <w:t>du livre des procédures fiscales</w:t>
      </w:r>
      <w:r>
        <w:rPr>
          <w:rFonts w:cs="TimesNewRomanPSMT"/>
          <w:color w:val="000000"/>
          <w:kern w:val="0"/>
        </w:rPr>
        <w:t xml:space="preserve"> </w:t>
      </w:r>
      <w:r w:rsidRPr="00E755A4">
        <w:rPr>
          <w:rFonts w:cs="TimesNewRomanPSMT"/>
          <w:color w:val="000000"/>
          <w:kern w:val="0"/>
        </w:rPr>
        <w:t xml:space="preserve">(LPF), une créance est éligible à l’admission en non-valeur (ANV) lorsque « </w:t>
      </w:r>
      <w:r w:rsidRPr="00E755A4">
        <w:rPr>
          <w:rFonts w:cs="TimesNewRomanPS-ItalicMT"/>
          <w:i/>
          <w:iCs/>
          <w:color w:val="000000"/>
          <w:kern w:val="0"/>
        </w:rPr>
        <w:t>les diligences s’avèrent</w:t>
      </w:r>
      <w:r>
        <w:rPr>
          <w:rFonts w:cs="TimesNewRomanPSMT"/>
          <w:color w:val="000000"/>
          <w:kern w:val="0"/>
        </w:rPr>
        <w:t xml:space="preserve"> </w:t>
      </w:r>
      <w:r w:rsidRPr="00E755A4">
        <w:rPr>
          <w:rFonts w:cs="TimesNewRomanPS-ItalicMT"/>
          <w:i/>
          <w:iCs/>
          <w:color w:val="000000"/>
          <w:kern w:val="0"/>
        </w:rPr>
        <w:t xml:space="preserve">impossibles </w:t>
      </w:r>
      <w:r w:rsidRPr="00E755A4">
        <w:rPr>
          <w:rFonts w:cs="TimesNewRomanPSMT"/>
          <w:color w:val="000000"/>
          <w:kern w:val="0"/>
        </w:rPr>
        <w:t>».</w:t>
      </w:r>
    </w:p>
    <w:p w14:paraId="5182F65E" w14:textId="5E5BDA54" w:rsidR="00E755A4" w:rsidRPr="00E755A4" w:rsidRDefault="00E755A4" w:rsidP="00E755A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kern w:val="0"/>
        </w:rPr>
      </w:pPr>
      <w:r w:rsidRPr="00E755A4">
        <w:rPr>
          <w:rFonts w:cs="Calibri"/>
          <w:color w:val="000000"/>
          <w:kern w:val="0"/>
        </w:rPr>
        <w:t xml:space="preserve">A la lecture de la </w:t>
      </w:r>
      <w:r w:rsidRPr="00E755A4">
        <w:rPr>
          <w:rFonts w:cs="Calibri"/>
          <w:color w:val="000081"/>
          <w:kern w:val="0"/>
        </w:rPr>
        <w:t xml:space="preserve">circulaire du 22 février 2023 </w:t>
      </w:r>
      <w:r w:rsidRPr="00E755A4">
        <w:rPr>
          <w:rFonts w:cs="Calibri"/>
          <w:color w:val="000000"/>
          <w:kern w:val="0"/>
        </w:rPr>
        <w:t xml:space="preserve">relative à la mise en </w:t>
      </w:r>
      <w:proofErr w:type="spellStart"/>
      <w:r w:rsidRPr="00E755A4">
        <w:rPr>
          <w:rFonts w:cs="Calibri"/>
          <w:color w:val="000000"/>
          <w:kern w:val="0"/>
        </w:rPr>
        <w:t>oeuvre</w:t>
      </w:r>
      <w:proofErr w:type="spellEnd"/>
      <w:r w:rsidRPr="00E755A4">
        <w:rPr>
          <w:rFonts w:cs="Calibri"/>
          <w:color w:val="000000"/>
          <w:kern w:val="0"/>
        </w:rPr>
        <w:t xml:space="preserve"> de la responsabilité des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gestionnaires publics (RGP) en matière de recouvrement forcé, l’agent comptable ne peut se prévaloir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de l’impossibilité à accomplir ses diligences lorsque le titre exécutoire est atteint par la prescription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d’assiette. En effet, cette prescription n’opère que sous réserve d’être opposée par le débiteur. A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défaut, l’agent comptable est fondé à en poursuivre le recouvrement. Dans cette hypothèse et en cas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d’échec du recouvrement, la créance sera éligible à l’ANV au motif que les diligences s’avèrent vaines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conformément au R. 276-2 du livre des procédures fiscales.</w:t>
      </w:r>
    </w:p>
    <w:p w14:paraId="7CB0EDA1" w14:textId="6F318545" w:rsidR="00E755A4" w:rsidRPr="00E755A4" w:rsidRDefault="00E755A4" w:rsidP="00E755A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kern w:val="0"/>
        </w:rPr>
      </w:pPr>
      <w:r w:rsidRPr="00E755A4">
        <w:rPr>
          <w:rFonts w:cs="Calibri"/>
          <w:color w:val="000000"/>
          <w:kern w:val="0"/>
        </w:rPr>
        <w:t>En revanche, le recours à l’admission en non-valeur ne semble pas opportun lorsque le redevable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soulève la prescription d’assiette à l’appui d’une contestation du bien-fondé de la créance. Le cas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échéant, l’ordonnateur ou le juge, s’ils l’estiment nécessaire, peuvent décharger l’intéressé de son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 xml:space="preserve">obligation de payer la dette prescrite. Cette décision se traduira pour l’ordonnateur par une annulation - </w:t>
      </w:r>
      <w:r w:rsidRPr="00E755A4">
        <w:rPr>
          <w:rFonts w:cs="Calibri"/>
          <w:color w:val="000000"/>
          <w:kern w:val="0"/>
          <w:u w:val="single"/>
        </w:rPr>
        <w:t>et non par une admission en non-valeur</w:t>
      </w:r>
      <w:r w:rsidRPr="00E755A4">
        <w:rPr>
          <w:rFonts w:cs="Calibri"/>
          <w:color w:val="000000"/>
          <w:kern w:val="0"/>
        </w:rPr>
        <w:t xml:space="preserve"> - de l’ordre de recouvrer </w:t>
      </w:r>
      <w:proofErr w:type="gramStart"/>
      <w:r w:rsidRPr="00E755A4">
        <w:rPr>
          <w:rFonts w:cs="Calibri"/>
          <w:color w:val="000000"/>
          <w:kern w:val="0"/>
        </w:rPr>
        <w:t>contesté</w:t>
      </w:r>
      <w:proofErr w:type="gramEnd"/>
      <w:r w:rsidRPr="00E755A4">
        <w:rPr>
          <w:rFonts w:cs="Calibri"/>
          <w:color w:val="000000"/>
          <w:kern w:val="0"/>
        </w:rPr>
        <w:t>.</w:t>
      </w:r>
    </w:p>
    <w:p w14:paraId="6BBC2AD2" w14:textId="556837E7" w:rsidR="00E755A4" w:rsidRPr="00E755A4" w:rsidRDefault="00E755A4" w:rsidP="00E755A4">
      <w:pPr>
        <w:autoSpaceDE w:val="0"/>
        <w:autoSpaceDN w:val="0"/>
        <w:adjustRightInd w:val="0"/>
        <w:spacing w:after="0" w:line="240" w:lineRule="auto"/>
        <w:jc w:val="both"/>
        <w:rPr>
          <w:rFonts w:cs="Calibri-Italic"/>
          <w:i/>
          <w:iCs/>
          <w:color w:val="000000"/>
          <w:kern w:val="0"/>
        </w:rPr>
      </w:pPr>
      <w:r w:rsidRPr="00E755A4">
        <w:rPr>
          <w:rFonts w:cs="Calibri"/>
          <w:color w:val="000081"/>
          <w:kern w:val="0"/>
        </w:rPr>
        <w:t xml:space="preserve">L’instruction juridique commune </w:t>
      </w:r>
      <w:r w:rsidRPr="00E755A4">
        <w:rPr>
          <w:rFonts w:cs="Calibri"/>
          <w:color w:val="000000"/>
          <w:kern w:val="0"/>
        </w:rPr>
        <w:t>préconise ce mode opératoire en ces termes (</w:t>
      </w:r>
      <w:proofErr w:type="spellStart"/>
      <w:r w:rsidRPr="00E755A4">
        <w:rPr>
          <w:rFonts w:cs="Calibri"/>
          <w:color w:val="000000"/>
          <w:kern w:val="0"/>
        </w:rPr>
        <w:t>cf</w:t>
      </w:r>
      <w:proofErr w:type="spellEnd"/>
      <w:r w:rsidRPr="00E755A4">
        <w:rPr>
          <w:rFonts w:cs="Calibri"/>
          <w:color w:val="000000"/>
          <w:kern w:val="0"/>
        </w:rPr>
        <w:t xml:space="preserve"> p.123) : « </w:t>
      </w:r>
      <w:r w:rsidRPr="00E755A4">
        <w:rPr>
          <w:rFonts w:cs="Calibri-Italic"/>
          <w:i/>
          <w:iCs/>
          <w:color w:val="000000"/>
          <w:kern w:val="0"/>
        </w:rPr>
        <w:t>l’annulation</w:t>
      </w:r>
      <w:r>
        <w:rPr>
          <w:rFonts w:cs="Calibri-Italic"/>
          <w:i/>
          <w:iCs/>
          <w:color w:val="000000"/>
          <w:kern w:val="0"/>
        </w:rPr>
        <w:t xml:space="preserve"> </w:t>
      </w:r>
      <w:r w:rsidRPr="00E755A4">
        <w:rPr>
          <w:rFonts w:cs="Calibri-Italic"/>
          <w:i/>
          <w:iCs/>
          <w:color w:val="000000"/>
          <w:kern w:val="0"/>
        </w:rPr>
        <w:t>de l’ordre de recouvrer a pour objet de constater la décharge de l’obligation de payer prononcée,</w:t>
      </w:r>
      <w:r>
        <w:rPr>
          <w:rFonts w:cs="Calibri-Italic"/>
          <w:i/>
          <w:iCs/>
          <w:color w:val="000000"/>
          <w:kern w:val="0"/>
        </w:rPr>
        <w:t xml:space="preserve"> </w:t>
      </w:r>
      <w:r w:rsidRPr="00E755A4">
        <w:rPr>
          <w:rFonts w:cs="Calibri-Italic"/>
          <w:i/>
          <w:iCs/>
          <w:color w:val="000000"/>
          <w:kern w:val="0"/>
        </w:rPr>
        <w:t>dans le cadre d’un contentieux relatif au bien-fondé de la créance, par décision de justice [...] »</w:t>
      </w:r>
    </w:p>
    <w:p w14:paraId="236C52AE" w14:textId="0E697AB2" w:rsidR="00E755A4" w:rsidRPr="00E755A4" w:rsidRDefault="00E755A4" w:rsidP="00E755A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kern w:val="0"/>
        </w:rPr>
      </w:pPr>
      <w:r w:rsidRPr="00E755A4">
        <w:rPr>
          <w:rFonts w:cs="Calibri"/>
          <w:color w:val="000000"/>
          <w:kern w:val="0"/>
        </w:rPr>
        <w:t>Par analogie, ce mode opératoire permet également de traiter la décharge de l’obligation de payer</w:t>
      </w:r>
      <w:r>
        <w:rPr>
          <w:rFonts w:cs="Calibri"/>
          <w:color w:val="000000"/>
          <w:kern w:val="0"/>
        </w:rPr>
        <w:t xml:space="preserve"> </w:t>
      </w:r>
      <w:r w:rsidRPr="00E755A4">
        <w:rPr>
          <w:rFonts w:cs="Calibri"/>
          <w:color w:val="000000"/>
          <w:kern w:val="0"/>
        </w:rPr>
        <w:t>octroyée par l’ordonnateur à l’issue d’un recours administratif.</w:t>
      </w:r>
    </w:p>
    <w:sectPr w:rsidR="00E755A4" w:rsidRPr="00E755A4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779BE3" w14:textId="77777777" w:rsidR="00196E6E" w:rsidRDefault="00196E6E" w:rsidP="00E755A4">
      <w:pPr>
        <w:spacing w:after="0" w:line="240" w:lineRule="auto"/>
      </w:pPr>
      <w:r>
        <w:separator/>
      </w:r>
    </w:p>
  </w:endnote>
  <w:endnote w:type="continuationSeparator" w:id="0">
    <w:p w14:paraId="7E6B748A" w14:textId="77777777" w:rsidR="00196E6E" w:rsidRDefault="00196E6E" w:rsidP="00E75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A81490" w14:textId="577BE66E" w:rsidR="00E755A4" w:rsidRPr="00E755A4" w:rsidRDefault="00E755A4">
    <w:pPr>
      <w:pStyle w:val="Pieddepage"/>
      <w:rPr>
        <w:i/>
        <w:iCs/>
        <w:color w:val="808080" w:themeColor="background1" w:themeShade="80"/>
        <w:sz w:val="28"/>
        <w:szCs w:val="28"/>
      </w:rPr>
    </w:pPr>
    <w:r w:rsidRPr="00E755A4">
      <w:rPr>
        <w:i/>
        <w:iCs/>
        <w:color w:val="808080" w:themeColor="background1" w:themeShade="80"/>
        <w:sz w:val="28"/>
        <w:szCs w:val="28"/>
      </w:rPr>
      <w:t xml:space="preserve">Mis à jour 2024- IJC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64D4C" w14:textId="77777777" w:rsidR="00196E6E" w:rsidRDefault="00196E6E" w:rsidP="00E755A4">
      <w:pPr>
        <w:spacing w:after="0" w:line="240" w:lineRule="auto"/>
      </w:pPr>
      <w:r>
        <w:separator/>
      </w:r>
    </w:p>
  </w:footnote>
  <w:footnote w:type="continuationSeparator" w:id="0">
    <w:p w14:paraId="767F07C1" w14:textId="77777777" w:rsidR="00196E6E" w:rsidRDefault="00196E6E" w:rsidP="00E755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A4"/>
    <w:rsid w:val="00196E6E"/>
    <w:rsid w:val="00242300"/>
    <w:rsid w:val="00306E20"/>
    <w:rsid w:val="00AF7E60"/>
    <w:rsid w:val="00BD434F"/>
    <w:rsid w:val="00E7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D84BC"/>
  <w15:chartTrackingRefBased/>
  <w15:docId w15:val="{946E7138-7002-48AE-A14B-728DFE6C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5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5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5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5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5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5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5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5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5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5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5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5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55A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55A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55A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55A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55A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55A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5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5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5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5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5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55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55A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55A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5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55A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55A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7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755A4"/>
  </w:style>
  <w:style w:type="paragraph" w:styleId="Pieddepage">
    <w:name w:val="footer"/>
    <w:basedOn w:val="Normal"/>
    <w:link w:val="PieddepageCar"/>
    <w:uiPriority w:val="99"/>
    <w:unhideWhenUsed/>
    <w:rsid w:val="00E7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5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1646</Characters>
  <Application>Microsoft Office Word</Application>
  <DocSecurity>0</DocSecurity>
  <Lines>13</Lines>
  <Paragraphs>3</Paragraphs>
  <ScaleCrop>false</ScaleCrop>
  <Company>GRAND PORT MARITIME DE MARSEILLE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2024-11-04T05:57:00Z</dcterms:created>
  <dcterms:modified xsi:type="dcterms:W3CDTF">2024-11-04T06:01:00Z</dcterms:modified>
</cp:coreProperties>
</file>