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CDC56" w14:textId="46BED14D" w:rsidR="00D706FD" w:rsidRPr="008D38AE" w:rsidRDefault="00D706FD" w:rsidP="00D706FD">
      <w:pPr>
        <w:autoSpaceDE w:val="0"/>
        <w:autoSpaceDN w:val="0"/>
        <w:adjustRightInd w:val="0"/>
        <w:spacing w:after="0" w:line="240" w:lineRule="auto"/>
        <w:jc w:val="center"/>
        <w:rPr>
          <w:rFonts w:ascii="MarianneBold" w:eastAsia="MarianneBold" w:cs="MarianneBold"/>
          <w:b/>
          <w:bCs/>
          <w:color w:val="7030A0"/>
        </w:rPr>
      </w:pPr>
      <w:r w:rsidRPr="008D38AE">
        <w:rPr>
          <w:rFonts w:ascii="MarianneBold" w:eastAsia="MarianneBold" w:cs="MarianneBold"/>
          <w:b/>
          <w:bCs/>
          <w:color w:val="7030A0"/>
        </w:rPr>
        <w:t>RGP et dur</w:t>
      </w:r>
      <w:r w:rsidRPr="008D38AE">
        <w:rPr>
          <w:rFonts w:ascii="MarianneBold" w:eastAsia="MarianneBold" w:cs="MarianneBold"/>
          <w:b/>
          <w:bCs/>
          <w:color w:val="7030A0"/>
        </w:rPr>
        <w:t>é</w:t>
      </w:r>
      <w:r w:rsidRPr="008D38AE">
        <w:rPr>
          <w:rFonts w:ascii="MarianneBold" w:eastAsia="MarianneBold" w:cs="MarianneBold"/>
          <w:b/>
          <w:bCs/>
          <w:color w:val="7030A0"/>
        </w:rPr>
        <w:t>es d</w:t>
      </w:r>
      <w:r w:rsidRPr="008D38AE">
        <w:rPr>
          <w:rFonts w:ascii="MarianneBold" w:eastAsia="MarianneBold" w:cs="MarianneBold" w:hint="eastAsia"/>
          <w:b/>
          <w:bCs/>
          <w:color w:val="7030A0"/>
        </w:rPr>
        <w:t>’</w:t>
      </w:r>
      <w:r w:rsidRPr="008D38AE">
        <w:rPr>
          <w:rFonts w:ascii="MarianneBold" w:eastAsia="MarianneBold" w:cs="MarianneBold"/>
          <w:b/>
          <w:bCs/>
          <w:color w:val="7030A0"/>
        </w:rPr>
        <w:t>archivage des documents constitutifs du compte financier, des actes de gestion, ainsi que des pi</w:t>
      </w:r>
      <w:r w:rsidRPr="008D38AE">
        <w:rPr>
          <w:rFonts w:ascii="MarianneBold" w:eastAsia="MarianneBold" w:cs="MarianneBold"/>
          <w:b/>
          <w:bCs/>
          <w:color w:val="7030A0"/>
        </w:rPr>
        <w:t>è</w:t>
      </w:r>
      <w:r w:rsidRPr="008D38AE">
        <w:rPr>
          <w:rFonts w:ascii="MarianneBold" w:eastAsia="MarianneBold" w:cs="MarianneBold"/>
          <w:b/>
          <w:bCs/>
          <w:color w:val="7030A0"/>
        </w:rPr>
        <w:t>ces justificatives</w:t>
      </w:r>
      <w:r w:rsidR="001636FB" w:rsidRPr="008D38AE">
        <w:rPr>
          <w:rFonts w:ascii="MarianneBold" w:eastAsia="MarianneBold" w:cs="MarianneBold"/>
          <w:b/>
          <w:bCs/>
          <w:color w:val="7030A0"/>
        </w:rPr>
        <w:t xml:space="preserve"> (FLASH 183</w:t>
      </w:r>
      <w:r w:rsidR="008D38AE">
        <w:rPr>
          <w:rFonts w:ascii="MarianneBold" w:eastAsia="MarianneBold" w:cs="MarianneBold"/>
          <w:b/>
          <w:bCs/>
          <w:color w:val="7030A0"/>
        </w:rPr>
        <w:t>-2023</w:t>
      </w:r>
      <w:r w:rsidR="001636FB" w:rsidRPr="008D38AE">
        <w:rPr>
          <w:rFonts w:ascii="MarianneBold" w:eastAsia="MarianneBold" w:cs="MarianneBold"/>
          <w:b/>
          <w:bCs/>
          <w:color w:val="7030A0"/>
        </w:rPr>
        <w:t>)</w:t>
      </w:r>
    </w:p>
    <w:p w14:paraId="4C058F11" w14:textId="77777777" w:rsidR="00D706FD" w:rsidRPr="008D38AE" w:rsidRDefault="00D706FD" w:rsidP="008D38AE">
      <w:pPr>
        <w:spacing w:line="278" w:lineRule="auto"/>
        <w:jc w:val="both"/>
        <w:rPr>
          <w:kern w:val="2"/>
          <w:sz w:val="24"/>
          <w:szCs w:val="24"/>
          <w14:ligatures w14:val="standardContextual"/>
        </w:rPr>
      </w:pPr>
    </w:p>
    <w:p w14:paraId="4A1C89A0" w14:textId="2170408E" w:rsidR="00D706FD" w:rsidRPr="008D38AE" w:rsidRDefault="00D706FD" w:rsidP="008D38AE">
      <w:pPr>
        <w:spacing w:line="278" w:lineRule="auto"/>
        <w:jc w:val="both"/>
        <w:rPr>
          <w:kern w:val="2"/>
          <w:sz w:val="24"/>
          <w:szCs w:val="24"/>
          <w:u w:val="single"/>
          <w14:ligatures w14:val="standardContextual"/>
        </w:rPr>
      </w:pPr>
      <w:proofErr w:type="gramStart"/>
      <w:r w:rsidRPr="008D38AE">
        <w:rPr>
          <w:b/>
          <w:bCs/>
          <w:kern w:val="2"/>
          <w:sz w:val="24"/>
          <w:szCs w:val="24"/>
          <w14:ligatures w14:val="standardContextual"/>
        </w:rPr>
        <w:t>L’ article</w:t>
      </w:r>
      <w:proofErr w:type="gramEnd"/>
      <w:r w:rsidRPr="008D38AE">
        <w:rPr>
          <w:b/>
          <w:bCs/>
          <w:kern w:val="2"/>
          <w:sz w:val="24"/>
          <w:szCs w:val="24"/>
          <w14:ligatures w14:val="standardContextual"/>
        </w:rPr>
        <w:t xml:space="preserve"> 31 de l’ordonnance n° 2022-408 du 23 mars 2022 relative au régime de responsabilité financière des gestionnaires publics</w:t>
      </w:r>
      <w:r w:rsidRPr="008D38AE">
        <w:rPr>
          <w:kern w:val="2"/>
          <w:sz w:val="24"/>
          <w:szCs w:val="24"/>
          <w14:ligatures w14:val="standardContextual"/>
        </w:rPr>
        <w:t xml:space="preserve"> prenant acte de l’abrogation du régime de responsabilité personnelle et pécuniaire et de l’obligation de cautionnement en résultant a prévu que si au 1er janvier 2023, un comptable ou un régisseur auquel aucune charge n'a été notifiée pour un exercice donné était déchargé de sa gestion au titre de cet exercice. De même, à cette même date, si aucune charge n'existe ou ne subsiste pour l'ensemble de sa gestion à l’encontre d’un comptable public ou d’un régisseur sorti de fonction, </w:t>
      </w:r>
      <w:r w:rsidRPr="008D38AE">
        <w:rPr>
          <w:kern w:val="2"/>
          <w:sz w:val="24"/>
          <w:szCs w:val="24"/>
          <w:u w:val="single"/>
          <w14:ligatures w14:val="standardContextual"/>
        </w:rPr>
        <w:t>alors il est quitte de ladite gestion.</w:t>
      </w:r>
    </w:p>
    <w:p w14:paraId="35E1D2CE" w14:textId="77777777" w:rsidR="00D706FD" w:rsidRPr="008D38AE" w:rsidRDefault="00D706FD" w:rsidP="008D38AE">
      <w:pPr>
        <w:spacing w:line="278" w:lineRule="auto"/>
        <w:jc w:val="both"/>
        <w:rPr>
          <w:kern w:val="2"/>
          <w:sz w:val="24"/>
          <w:szCs w:val="24"/>
          <w14:ligatures w14:val="standardContextual"/>
        </w:rPr>
      </w:pPr>
    </w:p>
    <w:p w14:paraId="7C9DB929" w14:textId="12FDD2F9"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En prévoyant ce dispositif, il s’agissait de prendre acte de l’impossibilité légale de la Cour des comptes mais également du ministre chargé du budget de déclarer une décharge ou un quitus et, corrélativement pour les autorités administratives compétentes, de délivrer à l’appui des décharges et quitus les certificats de libération du cautionnement permettant au comptable public et au régisseur qui n’est plus soumis à une obligation de cautionnement d’obtenir auprès de l’AFCM le remboursement de leur fonds de réserve.</w:t>
      </w:r>
    </w:p>
    <w:p w14:paraId="2B405D91" w14:textId="77777777" w:rsidR="00D706FD" w:rsidRPr="008D38AE" w:rsidRDefault="00D706FD" w:rsidP="008D38AE">
      <w:pPr>
        <w:spacing w:line="278" w:lineRule="auto"/>
        <w:jc w:val="both"/>
        <w:rPr>
          <w:kern w:val="2"/>
          <w:sz w:val="24"/>
          <w:szCs w:val="24"/>
          <w14:ligatures w14:val="standardContextual"/>
        </w:rPr>
      </w:pPr>
    </w:p>
    <w:p w14:paraId="0A7EC231" w14:textId="4063F4F3"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L’article 88 du décret n° 2022-1605 du 22 décembre 2022 portant application de l'ordonnance n° 2022-408 du 23 mars 2022 relative au régime de responsabilité financière des gestionnaires publics et modifiant diverses dispositions relatives aux comptables publics pris en application de l’article 31 précité de l’ordonnance, a ainsi prévu un mécanisme d’information de l’AFCM par la DGFiP et la Cour des comptes permettant à l’AFCM de rembourser, en masse et sans formalité, son fonds de réserve. Le comptable public doit uniquement adresser à l’AFCM une simple demande avec un RIB.</w:t>
      </w:r>
    </w:p>
    <w:p w14:paraId="57E0D483" w14:textId="7BBBF2B9"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Cette décharge « de plein droit » des agents comptables dans les conditions rappelées ci avant n’engendrent aucune autre conséquence notamment en termes de gestion des archives des documents constitutifs du compte financier, des actes de gestion, ainsi que des pièces justificatives sur les exercices antérieurs à la réforme.</w:t>
      </w:r>
    </w:p>
    <w:p w14:paraId="58E1C049" w14:textId="27E9FB3B" w:rsidR="00D706FD" w:rsidRPr="008D38AE" w:rsidRDefault="00D706FD" w:rsidP="008D38AE">
      <w:pPr>
        <w:spacing w:line="278" w:lineRule="auto"/>
        <w:jc w:val="both"/>
        <w:rPr>
          <w:b/>
          <w:bCs/>
          <w:kern w:val="2"/>
          <w:sz w:val="24"/>
          <w:szCs w:val="24"/>
          <w14:ligatures w14:val="standardContextual"/>
        </w:rPr>
      </w:pPr>
      <w:r w:rsidRPr="008D38AE">
        <w:rPr>
          <w:kern w:val="2"/>
          <w:sz w:val="24"/>
          <w:szCs w:val="24"/>
          <w14:ligatures w14:val="standardContextual"/>
        </w:rPr>
        <w:t xml:space="preserve">Ainsi, </w:t>
      </w:r>
      <w:r w:rsidRPr="008D38AE">
        <w:rPr>
          <w:b/>
          <w:bCs/>
          <w:kern w:val="2"/>
          <w:sz w:val="24"/>
          <w:szCs w:val="24"/>
          <w14:ligatures w14:val="standardContextual"/>
        </w:rPr>
        <w:t>cette décharge ou quitus n’a pas pour effet de donner droit à archivage où destruction des comptes et de leurs pièces justificatives des exercices pour lesquels les comptables ont obtenu décharge et/ou quitus par détermination de l’ordonnance et de son décret d’application.</w:t>
      </w:r>
    </w:p>
    <w:p w14:paraId="3355E60B" w14:textId="1F97BEBC"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 xml:space="preserve">Le délai de conservation des comptes et pièces justificatives nécessaires à la mise en œuvre du régime de responsabilité des gestionnaires publics s’applique et se substitue, le cas échéant, à celui relatif au régime de responsabilité personnelle et pécuniaire désormais abrogé. Ainsi, en considération des dispositions des articles L.142-1-3 du code des juridictions financières et 52 du décret n°2012-1246 du 7 novembre 2012, les pièces justificatives des </w:t>
      </w:r>
      <w:r w:rsidRPr="008D38AE">
        <w:rPr>
          <w:kern w:val="2"/>
          <w:sz w:val="24"/>
          <w:szCs w:val="24"/>
          <w14:ligatures w14:val="standardContextual"/>
        </w:rPr>
        <w:lastRenderedPageBreak/>
        <w:t>opérations de dépenses et recettes doivent être "</w:t>
      </w:r>
      <w:r w:rsidRPr="008D38AE">
        <w:rPr>
          <w:i/>
          <w:iCs/>
          <w:kern w:val="2"/>
          <w:sz w:val="24"/>
          <w:szCs w:val="24"/>
          <w14:ligatures w14:val="standardContextual"/>
        </w:rPr>
        <w:t>conservées jusqu'au 31 décembre inclus de la cinquième année suivant la date d'exécution de l'opération qu'elles justifient</w:t>
      </w:r>
      <w:r w:rsidRPr="008D38AE">
        <w:rPr>
          <w:kern w:val="2"/>
          <w:sz w:val="24"/>
          <w:szCs w:val="24"/>
          <w14:ligatures w14:val="standardContextual"/>
        </w:rPr>
        <w:t>".</w:t>
      </w:r>
    </w:p>
    <w:p w14:paraId="3C90EB81" w14:textId="57F05B38" w:rsidR="00EC47A3" w:rsidRPr="008D38AE" w:rsidRDefault="00EC47A3" w:rsidP="008D38AE">
      <w:pPr>
        <w:spacing w:line="278" w:lineRule="auto"/>
        <w:jc w:val="both"/>
        <w:rPr>
          <w:kern w:val="2"/>
          <w:sz w:val="24"/>
          <w:szCs w:val="24"/>
          <w14:ligatures w14:val="standardContextual"/>
        </w:rPr>
      </w:pPr>
    </w:p>
    <w:p w14:paraId="01336971" w14:textId="77777777" w:rsidR="008D38AE" w:rsidRDefault="008D38AE" w:rsidP="008D38AE">
      <w:pPr>
        <w:spacing w:line="278" w:lineRule="auto"/>
        <w:jc w:val="both"/>
        <w:rPr>
          <w:kern w:val="2"/>
          <w:sz w:val="24"/>
          <w:szCs w:val="24"/>
          <w14:ligatures w14:val="standardContextual"/>
        </w:rPr>
      </w:pPr>
    </w:p>
    <w:p w14:paraId="18ED0B0B" w14:textId="77777777" w:rsidR="008D38AE" w:rsidRDefault="008D38AE" w:rsidP="008D38AE">
      <w:pPr>
        <w:spacing w:line="278" w:lineRule="auto"/>
        <w:jc w:val="both"/>
        <w:rPr>
          <w:kern w:val="2"/>
          <w:sz w:val="24"/>
          <w:szCs w:val="24"/>
          <w14:ligatures w14:val="standardContextual"/>
        </w:rPr>
      </w:pPr>
    </w:p>
    <w:p w14:paraId="70B847A7" w14:textId="2C60CEDF"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Ainsi, pour les opérations de l’exercice 2018, le compte et ses pièces justificatives doivent être conservés jusqu’au 31 décembre 2023. Corrélativement, les comptes des exercices antérieurs à 2017 peuvent faire l’objet d’un désarchivage sauf si une instance dans le cadre du régime RGP a été ouverte par la CDBF avant le 1er janvier 2023 et reprise depuis par la Cour des comptes depuis le 1er janvier 2023. Cette durée liée à l’application de la responsabilité des gestionnaires publics ne se substitue pas aux durées d'utilité administrative supérieures propres à certaines pièces (</w:t>
      </w:r>
      <w:r w:rsidRPr="008D38AE">
        <w:rPr>
          <w:i/>
          <w:iCs/>
          <w:kern w:val="2"/>
          <w:sz w:val="24"/>
          <w:szCs w:val="24"/>
          <w14:ligatures w14:val="standardContextual"/>
        </w:rPr>
        <w:t>ex. un relevé BDF 10 ans</w:t>
      </w:r>
      <w:r w:rsidRPr="008D38AE">
        <w:rPr>
          <w:kern w:val="2"/>
          <w:sz w:val="24"/>
          <w:szCs w:val="24"/>
          <w14:ligatures w14:val="standardContextual"/>
        </w:rPr>
        <w:t>) qui demeurent.</w:t>
      </w:r>
    </w:p>
    <w:p w14:paraId="7EB780CB" w14:textId="77777777" w:rsidR="00D706FD" w:rsidRPr="008D38AE" w:rsidRDefault="00D706FD" w:rsidP="008D38AE">
      <w:pPr>
        <w:spacing w:line="278" w:lineRule="auto"/>
        <w:jc w:val="both"/>
        <w:rPr>
          <w:kern w:val="2"/>
          <w:sz w:val="24"/>
          <w:szCs w:val="24"/>
          <w14:ligatures w14:val="standardContextual"/>
        </w:rPr>
      </w:pPr>
    </w:p>
    <w:p w14:paraId="6AB2E48A" w14:textId="5BA41501"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 xml:space="preserve">À l’expiration de ces durées d’archivage, il convient de vérifier auprès des services administratifs de </w:t>
      </w:r>
      <w:proofErr w:type="spellStart"/>
      <w:r w:rsidRPr="008D38AE">
        <w:rPr>
          <w:kern w:val="2"/>
          <w:sz w:val="24"/>
          <w:szCs w:val="24"/>
          <w14:ligatures w14:val="standardContextual"/>
        </w:rPr>
        <w:t>lorganisme</w:t>
      </w:r>
      <w:proofErr w:type="spellEnd"/>
      <w:r w:rsidRPr="008D38AE">
        <w:rPr>
          <w:kern w:val="2"/>
          <w:sz w:val="24"/>
          <w:szCs w:val="24"/>
          <w14:ligatures w14:val="standardContextual"/>
        </w:rPr>
        <w:t xml:space="preserve"> les conditions de versement et/ou de destruction des</w:t>
      </w:r>
      <w:r w:rsidR="008D38AE">
        <w:rPr>
          <w:kern w:val="2"/>
          <w:sz w:val="24"/>
          <w:szCs w:val="24"/>
          <w14:ligatures w14:val="standardContextual"/>
        </w:rPr>
        <w:t xml:space="preserve"> </w:t>
      </w:r>
      <w:r w:rsidRPr="008D38AE">
        <w:rPr>
          <w:kern w:val="2"/>
          <w:sz w:val="24"/>
          <w:szCs w:val="24"/>
          <w14:ligatures w14:val="standardContextual"/>
        </w:rPr>
        <w:t xml:space="preserve">archives détenues par </w:t>
      </w:r>
      <w:proofErr w:type="spellStart"/>
      <w:r w:rsidRPr="008D38AE">
        <w:rPr>
          <w:kern w:val="2"/>
          <w:sz w:val="24"/>
          <w:szCs w:val="24"/>
          <w14:ligatures w14:val="standardContextual"/>
        </w:rPr>
        <w:t>lorganisme</w:t>
      </w:r>
      <w:proofErr w:type="spellEnd"/>
      <w:r w:rsidRPr="008D38AE">
        <w:rPr>
          <w:kern w:val="2"/>
          <w:sz w:val="24"/>
          <w:szCs w:val="24"/>
          <w14:ligatures w14:val="standardContextual"/>
        </w:rPr>
        <w:t>, conformément à la circulaire du 2 novembre 2001 relative à la gestion des archives dans les services et établissements publics de l'État et à la circulaire du 25 novembre 2010 sur le contrôle et la collecte des archives des opérateurs de l'État.</w:t>
      </w:r>
    </w:p>
    <w:p w14:paraId="6B070E02" w14:textId="2FA82D94"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En effet, il est possible qu'une convention par laquelle les archives de l’organisme peuvent être remises en dépôt à un service départemental d’archives soit en vigueur.</w:t>
      </w:r>
    </w:p>
    <w:p w14:paraId="2308AE41" w14:textId="77777777" w:rsidR="00D706FD" w:rsidRPr="008D38AE" w:rsidRDefault="00D706FD" w:rsidP="008D38AE">
      <w:pPr>
        <w:spacing w:line="278" w:lineRule="auto"/>
        <w:jc w:val="both"/>
        <w:rPr>
          <w:kern w:val="2"/>
          <w:sz w:val="24"/>
          <w:szCs w:val="24"/>
          <w14:ligatures w14:val="standardContextual"/>
        </w:rPr>
      </w:pPr>
    </w:p>
    <w:p w14:paraId="04380D14" w14:textId="653D6160" w:rsidR="00D706FD" w:rsidRPr="008D38AE" w:rsidRDefault="00D706FD" w:rsidP="008D38AE">
      <w:pPr>
        <w:spacing w:line="278" w:lineRule="auto"/>
        <w:jc w:val="both"/>
        <w:rPr>
          <w:kern w:val="2"/>
          <w:sz w:val="24"/>
          <w:szCs w:val="24"/>
          <w14:ligatures w14:val="standardContextual"/>
        </w:rPr>
      </w:pPr>
      <w:r w:rsidRPr="008D38AE">
        <w:rPr>
          <w:kern w:val="2"/>
          <w:sz w:val="24"/>
          <w:szCs w:val="24"/>
          <w14:ligatures w14:val="standardContextual"/>
        </w:rPr>
        <w:t>Pour votre complète information, les modalités de conservation et d’archivage seront précisées par un arrêté en cours de réécriture (fusion de l’arrêté du 10 janvier 2014 modifié fixant la liste des documents transmis au juge des comptes en application de l'article 214 du décret n° 2012-1246 du 7 novembre 2012 relatif à la gestion budgétaire et comptable publique et de l’arrêté du 7 octobre 2015 relatif aux conditions d'établissement, de conservation et de transmission sous forme dématérialisée des documents et pièces justificatives des opérations des organismes publics pris en application du décret n° 2012- 1246 du 7 novembre 2012 relatif à la gestion budgétaire et comptable publique).</w:t>
      </w:r>
    </w:p>
    <w:p w14:paraId="4CE8E198" w14:textId="1F11AB10" w:rsidR="00D706FD" w:rsidRPr="008D38AE" w:rsidRDefault="00D706FD" w:rsidP="008D38AE">
      <w:pPr>
        <w:spacing w:line="278" w:lineRule="auto"/>
        <w:jc w:val="both"/>
        <w:rPr>
          <w:kern w:val="2"/>
          <w:sz w:val="24"/>
          <w:szCs w:val="24"/>
          <w14:ligatures w14:val="standardContextual"/>
        </w:rPr>
      </w:pPr>
    </w:p>
    <w:sectPr w:rsidR="00D706FD" w:rsidRPr="008D38AE" w:rsidSect="00D706FD">
      <w:headerReference w:type="even" r:id="rId6"/>
      <w:headerReference w:type="default" r:id="rId7"/>
      <w:footerReference w:type="even" r:id="rId8"/>
      <w:footerReference w:type="default" r:id="rId9"/>
      <w:headerReference w:type="first" r:id="rId10"/>
      <w:footerReference w:type="first" r:id="rId11"/>
      <w:pgSz w:w="11906" w:h="16838"/>
      <w:pgMar w:top="284"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03E4BD" w14:textId="77777777" w:rsidR="0083449E" w:rsidRDefault="0083449E" w:rsidP="008D38AE">
      <w:pPr>
        <w:spacing w:after="0" w:line="240" w:lineRule="auto"/>
      </w:pPr>
      <w:r>
        <w:separator/>
      </w:r>
    </w:p>
  </w:endnote>
  <w:endnote w:type="continuationSeparator" w:id="0">
    <w:p w14:paraId="2AF89278" w14:textId="77777777" w:rsidR="0083449E" w:rsidRDefault="0083449E" w:rsidP="008D3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ianneBold">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CD719" w14:textId="77777777" w:rsidR="008D38AE" w:rsidRDefault="008D38A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C43DB" w14:textId="3B57444D" w:rsidR="008D38AE" w:rsidRPr="008D38AE" w:rsidRDefault="008D38AE">
    <w:pPr>
      <w:pStyle w:val="Pieddepage"/>
      <w:rPr>
        <w:i/>
        <w:iCs/>
        <w:color w:val="808080" w:themeColor="background1" w:themeShade="80"/>
      </w:rPr>
    </w:pPr>
    <w:r w:rsidRPr="008D38AE">
      <w:rPr>
        <w:i/>
        <w:iCs/>
        <w:color w:val="808080" w:themeColor="background1" w:themeShade="80"/>
      </w:rPr>
      <w:t xml:space="preserve">Archivage </w:t>
    </w:r>
    <w:proofErr w:type="spellStart"/>
    <w:r w:rsidRPr="008D38AE">
      <w:rPr>
        <w:i/>
        <w:iCs/>
        <w:color w:val="808080" w:themeColor="background1" w:themeShade="80"/>
      </w:rPr>
      <w:t>Majour</w:t>
    </w:r>
    <w:proofErr w:type="spellEnd"/>
    <w:r w:rsidRPr="008D38AE">
      <w:rPr>
        <w:i/>
        <w:iCs/>
        <w:color w:val="808080" w:themeColor="background1" w:themeShade="80"/>
      </w:rP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4A84C" w14:textId="77777777" w:rsidR="008D38AE" w:rsidRDefault="008D38A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1D1720" w14:textId="77777777" w:rsidR="0083449E" w:rsidRDefault="0083449E" w:rsidP="008D38AE">
      <w:pPr>
        <w:spacing w:after="0" w:line="240" w:lineRule="auto"/>
      </w:pPr>
      <w:r>
        <w:separator/>
      </w:r>
    </w:p>
  </w:footnote>
  <w:footnote w:type="continuationSeparator" w:id="0">
    <w:p w14:paraId="0B3FA4C8" w14:textId="77777777" w:rsidR="0083449E" w:rsidRDefault="0083449E" w:rsidP="008D3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1DA68" w14:textId="77777777" w:rsidR="008D38AE" w:rsidRDefault="008D3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6CF80" w14:textId="77777777" w:rsidR="008D38AE" w:rsidRDefault="008D38A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88A1E" w14:textId="77777777" w:rsidR="008D38AE" w:rsidRDefault="008D38A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6FD"/>
    <w:rsid w:val="000138EA"/>
    <w:rsid w:val="001636FB"/>
    <w:rsid w:val="005C5CE8"/>
    <w:rsid w:val="006016A5"/>
    <w:rsid w:val="0083449E"/>
    <w:rsid w:val="008D38AE"/>
    <w:rsid w:val="00D706FD"/>
    <w:rsid w:val="00EC47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AF0F"/>
  <w15:chartTrackingRefBased/>
  <w15:docId w15:val="{F60742B7-8932-4735-930B-DCFEF662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38AE"/>
    <w:pPr>
      <w:tabs>
        <w:tab w:val="center" w:pos="4536"/>
        <w:tab w:val="right" w:pos="9072"/>
      </w:tabs>
      <w:spacing w:after="0" w:line="240" w:lineRule="auto"/>
    </w:pPr>
  </w:style>
  <w:style w:type="character" w:customStyle="1" w:styleId="En-tteCar">
    <w:name w:val="En-tête Car"/>
    <w:basedOn w:val="Policepardfaut"/>
    <w:link w:val="En-tte"/>
    <w:uiPriority w:val="99"/>
    <w:rsid w:val="008D38AE"/>
  </w:style>
  <w:style w:type="paragraph" w:styleId="Pieddepage">
    <w:name w:val="footer"/>
    <w:basedOn w:val="Normal"/>
    <w:link w:val="PieddepageCar"/>
    <w:uiPriority w:val="99"/>
    <w:unhideWhenUsed/>
    <w:rsid w:val="008D38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3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784</Words>
  <Characters>4313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Caillibotte Sylvie</cp:lastModifiedBy>
  <cp:revision>2</cp:revision>
  <dcterms:created xsi:type="dcterms:W3CDTF">2024-10-10T13:23:00Z</dcterms:created>
  <dcterms:modified xsi:type="dcterms:W3CDTF">2024-10-10T13:23:00Z</dcterms:modified>
</cp:coreProperties>
</file>