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1C9FC" w14:textId="22E0328D" w:rsidR="00BD434F" w:rsidRPr="008B5B5D" w:rsidRDefault="008B5B5D" w:rsidP="008B5B5D">
      <w:pPr>
        <w:jc w:val="center"/>
        <w:rPr>
          <w:rFonts w:ascii="Arial" w:hAnsi="Arial" w:cs="Arial"/>
          <w:color w:val="040C28"/>
          <w:sz w:val="30"/>
          <w:szCs w:val="30"/>
          <w:shd w:val="clear" w:color="auto" w:fill="D3E3FD"/>
        </w:rPr>
      </w:pPr>
      <w:r w:rsidRPr="008B5B5D">
        <w:rPr>
          <w:rFonts w:ascii="Arial" w:hAnsi="Arial" w:cs="Arial"/>
          <w:color w:val="040C28"/>
          <w:sz w:val="30"/>
          <w:szCs w:val="30"/>
          <w:shd w:val="clear" w:color="auto" w:fill="D3E3FD"/>
        </w:rPr>
        <w:t>Garantie maison mère – Doctrine</w:t>
      </w:r>
    </w:p>
    <w:p w14:paraId="71625FDC" w14:textId="77777777" w:rsidR="008B5B5D" w:rsidRDefault="008B5B5D"/>
    <w:p w14:paraId="55B7DA81" w14:textId="5E00298F" w:rsidR="008B5B5D" w:rsidRDefault="008B5B5D" w:rsidP="008B5B5D">
      <w:pPr>
        <w:jc w:val="both"/>
      </w:pPr>
      <w:r w:rsidRPr="008B5B5D">
        <w:rPr>
          <w:rFonts w:ascii="Arial" w:hAnsi="Arial" w:cs="Arial"/>
          <w:color w:val="040C28"/>
          <w:sz w:val="30"/>
          <w:szCs w:val="30"/>
          <w:shd w:val="clear" w:color="auto" w:fill="D3E3FD"/>
        </w:rPr>
        <w:t xml:space="preserve">La </w:t>
      </w:r>
      <w:r w:rsidRPr="008B5B5D">
        <w:rPr>
          <w:rFonts w:ascii="Arial" w:hAnsi="Arial" w:cs="Arial"/>
          <w:color w:val="040C28"/>
          <w:sz w:val="30"/>
          <w:szCs w:val="30"/>
          <w:shd w:val="clear" w:color="auto" w:fill="D3E3FD"/>
        </w:rPr>
        <w:t xml:space="preserve">garantie financière </w:t>
      </w:r>
      <w:r w:rsidRPr="008B5B5D">
        <w:rPr>
          <w:rFonts w:ascii="Arial" w:hAnsi="Arial" w:cs="Arial"/>
          <w:color w:val="040C28"/>
          <w:sz w:val="30"/>
          <w:szCs w:val="30"/>
          <w:shd w:val="clear" w:color="auto" w:fill="D3E3FD"/>
        </w:rPr>
        <w:t>« maison mère</w:t>
      </w:r>
      <w:proofErr w:type="gramStart"/>
      <w:r w:rsidRPr="008B5B5D">
        <w:rPr>
          <w:rFonts w:ascii="Arial" w:hAnsi="Arial" w:cs="Arial"/>
          <w:color w:val="040C28"/>
          <w:sz w:val="30"/>
          <w:szCs w:val="30"/>
          <w:shd w:val="clear" w:color="auto" w:fill="D3E3FD"/>
        </w:rPr>
        <w:t> »est</w:t>
      </w:r>
      <w:proofErr w:type="gramEnd"/>
      <w:r w:rsidRPr="008B5B5D">
        <w:rPr>
          <w:rFonts w:ascii="Arial" w:hAnsi="Arial" w:cs="Arial"/>
          <w:color w:val="040C28"/>
          <w:sz w:val="30"/>
          <w:szCs w:val="30"/>
          <w:shd w:val="clear" w:color="auto" w:fill="D3E3FD"/>
        </w:rPr>
        <w:t xml:space="preserve"> une garantie </w:t>
      </w:r>
      <w:r w:rsidRPr="008B5B5D">
        <w:rPr>
          <w:rFonts w:ascii="Arial" w:hAnsi="Arial" w:cs="Arial"/>
          <w:color w:val="040C28"/>
          <w:sz w:val="30"/>
          <w:szCs w:val="30"/>
          <w:shd w:val="clear" w:color="auto" w:fill="D3E3FD"/>
        </w:rPr>
        <w:t xml:space="preserve">par laquelle une société mère s'engage à couvrir les obligations financières de l'une de </w:t>
      </w:r>
      <w:proofErr w:type="gramStart"/>
      <w:r w:rsidRPr="008B5B5D">
        <w:rPr>
          <w:rFonts w:ascii="Arial" w:hAnsi="Arial" w:cs="Arial"/>
          <w:color w:val="040C28"/>
          <w:sz w:val="30"/>
          <w:szCs w:val="30"/>
          <w:shd w:val="clear" w:color="auto" w:fill="D3E3FD"/>
        </w:rPr>
        <w:t>ses filiale</w:t>
      </w:r>
      <w:proofErr w:type="gramEnd"/>
    </w:p>
    <w:p w14:paraId="7514AA99" w14:textId="77777777" w:rsidR="008B5B5D" w:rsidRPr="008B5B5D" w:rsidRDefault="008B5B5D" w:rsidP="008B5B5D">
      <w:pPr>
        <w:shd w:val="clear" w:color="auto" w:fill="FFFFFF"/>
        <w:spacing w:after="100" w:afterAutospacing="1" w:line="240" w:lineRule="auto"/>
        <w:jc w:val="both"/>
        <w:outlineLvl w:val="0"/>
        <w:rPr>
          <w:rFonts w:ascii="Arial" w:hAnsi="Arial" w:cs="Arial"/>
          <w:color w:val="040C28"/>
          <w:sz w:val="30"/>
          <w:szCs w:val="30"/>
          <w:shd w:val="clear" w:color="auto" w:fill="D3E3FD"/>
        </w:rPr>
      </w:pPr>
      <w:r w:rsidRPr="008B5B5D">
        <w:rPr>
          <w:rFonts w:ascii="Arial" w:hAnsi="Arial" w:cs="Arial"/>
          <w:color w:val="040C28"/>
          <w:sz w:val="30"/>
          <w:szCs w:val="30"/>
          <w:shd w:val="clear" w:color="auto" w:fill="D3E3FD"/>
        </w:rPr>
        <w:t>Garantie du groupe : quand la maison mère s'engage pour sa filiale. Avantages et limites de cet outil de sécurisation</w:t>
      </w:r>
    </w:p>
    <w:p w14:paraId="34E1A12D" w14:textId="66AC6432" w:rsidR="008B5B5D" w:rsidRPr="008B5B5D" w:rsidRDefault="008B5B5D" w:rsidP="008B5B5D">
      <w:pPr>
        <w:spacing w:after="0" w:line="240" w:lineRule="auto"/>
        <w:jc w:val="both"/>
        <w:rPr>
          <w:rFonts w:ascii="Times New Roman" w:eastAsia="Times New Roman" w:hAnsi="Times New Roman" w:cs="Times New Roman"/>
          <w:kern w:val="0"/>
          <w:lang w:eastAsia="fr-FR"/>
          <w14:ligatures w14:val="none"/>
        </w:rPr>
      </w:pPr>
      <w:r w:rsidRPr="008B5B5D">
        <w:rPr>
          <w:rFonts w:ascii="Segoe UI" w:eastAsia="Times New Roman" w:hAnsi="Segoe UI" w:cs="Segoe UI"/>
          <w:color w:val="212529"/>
          <w:kern w:val="0"/>
          <w:shd w:val="clear" w:color="auto" w:fill="FFFFFF"/>
          <w:lang w:eastAsia="fr-FR"/>
          <w14:ligatures w14:val="none"/>
        </w:rPr>
        <w:t>Proche du schéma de la </w:t>
      </w:r>
      <w:hyperlink r:id="rId5" w:history="1">
        <w:r w:rsidRPr="008B5B5D">
          <w:rPr>
            <w:rFonts w:ascii="Segoe UI" w:eastAsia="Times New Roman" w:hAnsi="Segoe UI" w:cs="Segoe UI"/>
            <w:color w:val="607D20"/>
            <w:kern w:val="0"/>
            <w:shd w:val="clear" w:color="auto" w:fill="FFFFFF"/>
            <w:lang w:eastAsia="fr-FR"/>
            <w14:ligatures w14:val="none"/>
          </w:rPr>
          <w:t>caution solidaire</w:t>
        </w:r>
      </w:hyperlink>
      <w:r w:rsidRPr="008B5B5D">
        <w:rPr>
          <w:rFonts w:ascii="Segoe UI" w:eastAsia="Times New Roman" w:hAnsi="Segoe UI" w:cs="Segoe UI"/>
          <w:color w:val="212529"/>
          <w:kern w:val="0"/>
          <w:shd w:val="clear" w:color="auto" w:fill="FFFFFF"/>
          <w:lang w:eastAsia="fr-FR"/>
          <w14:ligatures w14:val="none"/>
        </w:rPr>
        <w:t>, la garantie maison mère est un outil permettant d’obtenir l’engagement de la société maison mère d’un acheteur d’honorer les engagements de sa filiale si celle-ci venait à faire défaut.</w:t>
      </w:r>
      <w:r w:rsidRPr="008B5B5D">
        <w:rPr>
          <w:rFonts w:ascii="Segoe UI" w:eastAsia="Times New Roman" w:hAnsi="Segoe UI" w:cs="Segoe UI"/>
          <w:color w:val="212529"/>
          <w:kern w:val="0"/>
          <w:lang w:eastAsia="fr-FR"/>
          <w14:ligatures w14:val="none"/>
        </w:rPr>
        <w:br/>
      </w:r>
      <w:r w:rsidRPr="008B5B5D">
        <w:rPr>
          <w:rFonts w:ascii="Segoe UI" w:eastAsia="Times New Roman" w:hAnsi="Segoe UI" w:cs="Segoe UI"/>
          <w:color w:val="212529"/>
          <w:kern w:val="0"/>
          <w:shd w:val="clear" w:color="auto" w:fill="FFFFFF"/>
          <w:lang w:eastAsia="fr-FR"/>
          <w14:ligatures w14:val="none"/>
        </w:rPr>
        <w:t>Cette garantie est très fréquemment utilisée dans le commerce domestique et international.</w:t>
      </w:r>
      <w:r w:rsidRPr="008B5B5D">
        <w:rPr>
          <w:rFonts w:ascii="Segoe UI" w:eastAsia="Times New Roman" w:hAnsi="Segoe UI" w:cs="Segoe UI"/>
          <w:color w:val="212529"/>
          <w:kern w:val="0"/>
          <w:lang w:eastAsia="fr-FR"/>
          <w14:ligatures w14:val="none"/>
        </w:rPr>
        <w:br/>
      </w:r>
      <w:r w:rsidRPr="008B5B5D">
        <w:rPr>
          <w:rFonts w:ascii="Segoe UI" w:eastAsia="Times New Roman" w:hAnsi="Segoe UI" w:cs="Segoe UI"/>
          <w:color w:val="212529"/>
          <w:kern w:val="0"/>
          <w:shd w:val="clear" w:color="auto" w:fill="FFFFFF"/>
          <w:lang w:eastAsia="fr-FR"/>
          <w14:ligatures w14:val="none"/>
        </w:rPr>
        <w:t>Par exemple, lorsqu’un groupe crée un établissement dans un nouveau pays pour réaliser une affaire ou pour développer son activité, cette nouvelle structure ne dispose pas au début de tous les éléments permettant de rassurer ses partenaires (banques, fournisseurs, clients…etc.) sur sa solvabilité (financement, états financiers publiés, historique, ancienneté).</w:t>
      </w:r>
      <w:r w:rsidRPr="008B5B5D">
        <w:rPr>
          <w:rFonts w:ascii="Segoe UI" w:eastAsia="Times New Roman" w:hAnsi="Segoe UI" w:cs="Segoe UI"/>
          <w:color w:val="212529"/>
          <w:kern w:val="0"/>
          <w:lang w:eastAsia="fr-FR"/>
          <w14:ligatures w14:val="none"/>
        </w:rPr>
        <w:t xml:space="preserve"> </w:t>
      </w:r>
      <w:r w:rsidRPr="008B5B5D">
        <w:rPr>
          <w:rFonts w:ascii="Segoe UI" w:eastAsia="Times New Roman" w:hAnsi="Segoe UI" w:cs="Segoe UI"/>
          <w:color w:val="212529"/>
          <w:kern w:val="0"/>
          <w:shd w:val="clear" w:color="auto" w:fill="FFFFFF"/>
          <w:lang w:eastAsia="fr-FR"/>
          <w14:ligatures w14:val="none"/>
        </w:rPr>
        <w:t xml:space="preserve">Dans ce cas, une garantie du groupe permet de conforter tout ce monde et de débuter des relations commerciales avec des conditions avantageuses négociées au niveau « </w:t>
      </w:r>
      <w:proofErr w:type="spellStart"/>
      <w:r w:rsidRPr="008B5B5D">
        <w:rPr>
          <w:rFonts w:ascii="Segoe UI" w:eastAsia="Times New Roman" w:hAnsi="Segoe UI" w:cs="Segoe UI"/>
          <w:color w:val="212529"/>
          <w:kern w:val="0"/>
          <w:shd w:val="clear" w:color="auto" w:fill="FFFFFF"/>
          <w:lang w:eastAsia="fr-FR"/>
          <w14:ligatures w14:val="none"/>
        </w:rPr>
        <w:t>corporate</w:t>
      </w:r>
      <w:proofErr w:type="spellEnd"/>
      <w:r w:rsidRPr="008B5B5D">
        <w:rPr>
          <w:rFonts w:ascii="Segoe UI" w:eastAsia="Times New Roman" w:hAnsi="Segoe UI" w:cs="Segoe UI"/>
          <w:color w:val="212529"/>
          <w:kern w:val="0"/>
          <w:shd w:val="clear" w:color="auto" w:fill="FFFFFF"/>
          <w:lang w:eastAsia="fr-FR"/>
          <w14:ligatures w14:val="none"/>
        </w:rPr>
        <w:t xml:space="preserve"> ». Cela permet à la nouvelle filiale de bénéficier de la crédibilité du groupe auquel elle appartient plutôt que d’être considérée comme une nouvelle entreprise qui a tout à construire.</w:t>
      </w:r>
      <w:r w:rsidRPr="008B5B5D">
        <w:rPr>
          <w:rFonts w:ascii="Segoe UI" w:eastAsia="Times New Roman" w:hAnsi="Segoe UI" w:cs="Segoe UI"/>
          <w:color w:val="212529"/>
          <w:kern w:val="0"/>
          <w:lang w:eastAsia="fr-FR"/>
          <w14:ligatures w14:val="none"/>
        </w:rPr>
        <w:t xml:space="preserve"> </w:t>
      </w:r>
    </w:p>
    <w:p w14:paraId="4EF0FCE9" w14:textId="77777777" w:rsidR="008B5B5D" w:rsidRPr="008B5B5D" w:rsidRDefault="008B5B5D" w:rsidP="008B5B5D">
      <w:pPr>
        <w:shd w:val="clear" w:color="auto" w:fill="FFFFFF"/>
        <w:spacing w:before="120" w:after="100" w:afterAutospacing="1" w:line="240" w:lineRule="auto"/>
        <w:jc w:val="both"/>
        <w:outlineLvl w:val="1"/>
        <w:rPr>
          <w:rFonts w:ascii="Segoe UI" w:eastAsia="Times New Roman" w:hAnsi="Segoe UI" w:cs="Segoe UI"/>
          <w:b/>
          <w:bCs/>
          <w:color w:val="157FA7"/>
          <w:kern w:val="0"/>
          <w:sz w:val="36"/>
          <w:szCs w:val="36"/>
          <w:lang w:eastAsia="fr-FR"/>
          <w14:ligatures w14:val="none"/>
        </w:rPr>
      </w:pPr>
      <w:r w:rsidRPr="008B5B5D">
        <w:rPr>
          <w:rFonts w:ascii="Segoe UI" w:eastAsia="Times New Roman" w:hAnsi="Segoe UI" w:cs="Segoe UI"/>
          <w:b/>
          <w:bCs/>
          <w:color w:val="157FA7"/>
          <w:kern w:val="0"/>
          <w:sz w:val="36"/>
          <w:szCs w:val="36"/>
          <w:lang w:eastAsia="fr-FR"/>
          <w14:ligatures w14:val="none"/>
        </w:rPr>
        <w:t>Quel formalisme pour la garantie maison mère ?</w:t>
      </w:r>
    </w:p>
    <w:p w14:paraId="0E234E04" w14:textId="77777777" w:rsidR="008B5B5D" w:rsidRPr="008B5B5D" w:rsidRDefault="008B5B5D" w:rsidP="008B5B5D">
      <w:pPr>
        <w:spacing w:after="0" w:line="240" w:lineRule="auto"/>
        <w:jc w:val="both"/>
        <w:rPr>
          <w:rFonts w:ascii="Times New Roman" w:eastAsia="Times New Roman" w:hAnsi="Times New Roman" w:cs="Times New Roman"/>
          <w:kern w:val="0"/>
          <w:lang w:eastAsia="fr-FR"/>
          <w14:ligatures w14:val="none"/>
        </w:rPr>
      </w:pPr>
      <w:r w:rsidRPr="008B5B5D">
        <w:rPr>
          <w:rFonts w:ascii="Segoe UI" w:eastAsia="Times New Roman" w:hAnsi="Segoe UI" w:cs="Segoe UI"/>
          <w:color w:val="212529"/>
          <w:kern w:val="0"/>
          <w:shd w:val="clear" w:color="auto" w:fill="FFFFFF"/>
          <w:lang w:eastAsia="fr-FR"/>
          <w14:ligatures w14:val="none"/>
        </w:rPr>
        <w:t xml:space="preserve">Élément clé de sa validité, le formalisme de la garantie maison mère doit être clair et irréprochable pour être considéré comme un engagement irrévocable par les tribunaux. </w:t>
      </w:r>
      <w:proofErr w:type="spellStart"/>
      <w:r w:rsidRPr="008B5B5D">
        <w:rPr>
          <w:rFonts w:ascii="Segoe UI" w:eastAsia="Times New Roman" w:hAnsi="Segoe UI" w:cs="Segoe UI"/>
          <w:color w:val="212529"/>
          <w:kern w:val="0"/>
          <w:shd w:val="clear" w:color="auto" w:fill="FFFFFF"/>
          <w:lang w:eastAsia="fr-FR"/>
          <w14:ligatures w14:val="none"/>
        </w:rPr>
        <w:t>Posez-vous</w:t>
      </w:r>
      <w:proofErr w:type="spellEnd"/>
      <w:r w:rsidRPr="008B5B5D">
        <w:rPr>
          <w:rFonts w:ascii="Segoe UI" w:eastAsia="Times New Roman" w:hAnsi="Segoe UI" w:cs="Segoe UI"/>
          <w:color w:val="212529"/>
          <w:kern w:val="0"/>
          <w:shd w:val="clear" w:color="auto" w:fill="FFFFFF"/>
          <w:lang w:eastAsia="fr-FR"/>
          <w14:ligatures w14:val="none"/>
        </w:rPr>
        <w:t xml:space="preserve"> la question : que se passera-t-il si les choses vont mal ? Est-ce que le document obtenu suffira à obtenir gain de cause ?</w:t>
      </w:r>
    </w:p>
    <w:p w14:paraId="7B749AFC" w14:textId="77777777" w:rsidR="008B5B5D" w:rsidRPr="008B5B5D" w:rsidRDefault="008B5B5D" w:rsidP="008B5B5D">
      <w:pPr>
        <w:shd w:val="clear" w:color="auto" w:fill="DDF6FF"/>
        <w:spacing w:after="0" w:line="240" w:lineRule="auto"/>
        <w:jc w:val="both"/>
        <w:rPr>
          <w:rFonts w:ascii="Segoe UI" w:eastAsia="Times New Roman" w:hAnsi="Segoe UI" w:cs="Segoe UI"/>
          <w:color w:val="0D4F68"/>
          <w:kern w:val="0"/>
          <w:lang w:eastAsia="fr-FR"/>
          <w14:ligatures w14:val="none"/>
        </w:rPr>
      </w:pPr>
      <w:r w:rsidRPr="008B5B5D">
        <w:rPr>
          <w:rFonts w:ascii="Segoe UI" w:eastAsia="Times New Roman" w:hAnsi="Segoe UI" w:cs="Segoe UI"/>
          <w:noProof/>
          <w:color w:val="0D4F68"/>
          <w:kern w:val="0"/>
          <w:lang w:eastAsia="fr-FR"/>
          <w14:ligatures w14:val="none"/>
        </w:rPr>
        <w:drawing>
          <wp:inline distT="0" distB="0" distL="0" distR="0" wp14:anchorId="33DF8A05" wp14:editId="21BEA614">
            <wp:extent cx="114300" cy="104775"/>
            <wp:effectExtent l="0" t="0" r="0" b="9525"/>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sidRPr="008B5B5D">
        <w:rPr>
          <w:rFonts w:ascii="Segoe UI" w:eastAsia="Times New Roman" w:hAnsi="Segoe UI" w:cs="Segoe UI"/>
          <w:color w:val="0D4F68"/>
          <w:kern w:val="0"/>
          <w:lang w:eastAsia="fr-FR"/>
          <w14:ligatures w14:val="none"/>
        </w:rPr>
        <w:t> Ce principe est d’autant plus vrai qu’il existe une multitude de documents types. Chaque entreprise émet son propre modèle de garantie avec pour objectif de satisfaire ses partenaires mais également de limiter ses engagements.</w:t>
      </w:r>
    </w:p>
    <w:p w14:paraId="436AA3D7" w14:textId="700ED062" w:rsidR="008B5B5D" w:rsidRPr="008B5B5D" w:rsidRDefault="008B5B5D" w:rsidP="008B5B5D">
      <w:pPr>
        <w:spacing w:after="0" w:line="240" w:lineRule="auto"/>
        <w:jc w:val="both"/>
        <w:rPr>
          <w:rFonts w:ascii="Times New Roman" w:eastAsia="Times New Roman" w:hAnsi="Times New Roman" w:cs="Times New Roman"/>
          <w:kern w:val="0"/>
          <w:lang w:eastAsia="fr-FR"/>
          <w14:ligatures w14:val="none"/>
        </w:rPr>
      </w:pPr>
      <w:r w:rsidRPr="008B5B5D">
        <w:rPr>
          <w:rFonts w:ascii="Segoe UI" w:eastAsia="Times New Roman" w:hAnsi="Segoe UI" w:cs="Segoe UI"/>
          <w:color w:val="212529"/>
          <w:kern w:val="0"/>
          <w:shd w:val="clear" w:color="auto" w:fill="FFFFFF"/>
          <w:lang w:eastAsia="fr-FR"/>
          <w14:ligatures w14:val="none"/>
        </w:rPr>
        <w:t xml:space="preserve">Par conséquent, on trouve de tout sous le terme garantie maison mère (parent </w:t>
      </w:r>
      <w:proofErr w:type="spellStart"/>
      <w:r w:rsidRPr="008B5B5D">
        <w:rPr>
          <w:rFonts w:ascii="Segoe UI" w:eastAsia="Times New Roman" w:hAnsi="Segoe UI" w:cs="Segoe UI"/>
          <w:color w:val="212529"/>
          <w:kern w:val="0"/>
          <w:shd w:val="clear" w:color="auto" w:fill="FFFFFF"/>
          <w:lang w:eastAsia="fr-FR"/>
          <w14:ligatures w14:val="none"/>
        </w:rPr>
        <w:t>company</w:t>
      </w:r>
      <w:proofErr w:type="spellEnd"/>
      <w:r w:rsidRPr="008B5B5D">
        <w:rPr>
          <w:rFonts w:ascii="Segoe UI" w:eastAsia="Times New Roman" w:hAnsi="Segoe UI" w:cs="Segoe UI"/>
          <w:color w:val="212529"/>
          <w:kern w:val="0"/>
          <w:shd w:val="clear" w:color="auto" w:fill="FFFFFF"/>
          <w:lang w:eastAsia="fr-FR"/>
          <w14:ligatures w14:val="none"/>
        </w:rPr>
        <w:t xml:space="preserve"> </w:t>
      </w:r>
      <w:proofErr w:type="spellStart"/>
      <w:r w:rsidRPr="008B5B5D">
        <w:rPr>
          <w:rFonts w:ascii="Segoe UI" w:eastAsia="Times New Roman" w:hAnsi="Segoe UI" w:cs="Segoe UI"/>
          <w:color w:val="212529"/>
          <w:kern w:val="0"/>
          <w:shd w:val="clear" w:color="auto" w:fill="FFFFFF"/>
          <w:lang w:eastAsia="fr-FR"/>
          <w14:ligatures w14:val="none"/>
        </w:rPr>
        <w:t>guarantee</w:t>
      </w:r>
      <w:proofErr w:type="spellEnd"/>
      <w:r w:rsidRPr="008B5B5D">
        <w:rPr>
          <w:rFonts w:ascii="Segoe UI" w:eastAsia="Times New Roman" w:hAnsi="Segoe UI" w:cs="Segoe UI"/>
          <w:color w:val="212529"/>
          <w:kern w:val="0"/>
          <w:shd w:val="clear" w:color="auto" w:fill="FFFFFF"/>
          <w:lang w:eastAsia="fr-FR"/>
          <w14:ligatures w14:val="none"/>
        </w:rPr>
        <w:t xml:space="preserve"> ou PCG en anglais), de la simple </w:t>
      </w:r>
      <w:r w:rsidRPr="008B5B5D">
        <w:rPr>
          <w:rFonts w:ascii="Segoe UI" w:eastAsia="Times New Roman" w:hAnsi="Segoe UI" w:cs="Segoe UI"/>
          <w:color w:val="212529"/>
          <w:kern w:val="0"/>
          <w:u w:val="single"/>
          <w:shd w:val="clear" w:color="auto" w:fill="FFFFFF"/>
          <w:lang w:eastAsia="fr-FR"/>
          <w14:ligatures w14:val="none"/>
        </w:rPr>
        <w:t>lettre de confort</w:t>
      </w:r>
      <w:r w:rsidRPr="008B5B5D">
        <w:rPr>
          <w:rFonts w:ascii="Segoe UI" w:eastAsia="Times New Roman" w:hAnsi="Segoe UI" w:cs="Segoe UI"/>
          <w:color w:val="212529"/>
          <w:kern w:val="0"/>
          <w:shd w:val="clear" w:color="auto" w:fill="FFFFFF"/>
          <w:lang w:eastAsia="fr-FR"/>
          <w14:ligatures w14:val="none"/>
        </w:rPr>
        <w:t> à la garantie irrévocable à première demande, en passant par toute une flopée de documents dont les clauses minorent le niveau d’engagement du groupe.</w:t>
      </w:r>
      <w:r w:rsidRPr="008B5B5D">
        <w:rPr>
          <w:rFonts w:ascii="Segoe UI" w:eastAsia="Times New Roman" w:hAnsi="Segoe UI" w:cs="Segoe UI"/>
          <w:color w:val="212529"/>
          <w:kern w:val="0"/>
          <w:lang w:eastAsia="fr-FR"/>
          <w14:ligatures w14:val="none"/>
        </w:rPr>
        <w:t xml:space="preserve"> </w:t>
      </w:r>
      <w:r w:rsidRPr="008B5B5D">
        <w:rPr>
          <w:rFonts w:ascii="Segoe UI" w:eastAsia="Times New Roman" w:hAnsi="Segoe UI" w:cs="Segoe UI"/>
          <w:color w:val="212529"/>
          <w:kern w:val="0"/>
          <w:shd w:val="clear" w:color="auto" w:fill="FFFFFF"/>
          <w:lang w:eastAsia="fr-FR"/>
          <w14:ligatures w14:val="none"/>
        </w:rPr>
        <w:t>Nombre d’entreprises cherchent à réduire leurs engagements à travers des clauses suspensives et / ou conditionnelles.</w:t>
      </w:r>
      <w:r w:rsidRPr="008B5B5D">
        <w:rPr>
          <w:rFonts w:ascii="Segoe UI" w:eastAsia="Times New Roman" w:hAnsi="Segoe UI" w:cs="Segoe UI"/>
          <w:color w:val="212529"/>
          <w:kern w:val="0"/>
          <w:shd w:val="clear" w:color="auto" w:fill="FFFFFF"/>
          <w:lang w:eastAsia="fr-FR"/>
          <w14:ligatures w14:val="none"/>
        </w:rPr>
        <w:t xml:space="preserve"> </w:t>
      </w:r>
      <w:r w:rsidRPr="008B5B5D">
        <w:rPr>
          <w:rFonts w:ascii="Segoe UI" w:eastAsia="Times New Roman" w:hAnsi="Segoe UI" w:cs="Segoe UI"/>
          <w:color w:val="212529"/>
          <w:kern w:val="0"/>
          <w:shd w:val="clear" w:color="auto" w:fill="FFFFFF"/>
          <w:lang w:eastAsia="fr-FR"/>
          <w14:ligatures w14:val="none"/>
        </w:rPr>
        <w:t>Il est donc primordial d’analyser en détail la PCG afin d’avoir une compréhension réaliste du niveau de couverture qu’elle procure.</w:t>
      </w:r>
    </w:p>
    <w:p w14:paraId="6D1C5754" w14:textId="77777777" w:rsidR="008B5B5D" w:rsidRPr="008B5B5D" w:rsidRDefault="008B5B5D" w:rsidP="008B5B5D">
      <w:pPr>
        <w:shd w:val="clear" w:color="auto" w:fill="FFFFFF"/>
        <w:spacing w:after="0" w:line="240" w:lineRule="auto"/>
        <w:jc w:val="both"/>
        <w:rPr>
          <w:rFonts w:ascii="Segoe UI" w:eastAsia="Times New Roman" w:hAnsi="Segoe UI" w:cs="Segoe UI"/>
          <w:color w:val="212529"/>
          <w:kern w:val="0"/>
          <w:lang w:eastAsia="fr-FR"/>
          <w14:ligatures w14:val="none"/>
        </w:rPr>
      </w:pPr>
      <w:r w:rsidRPr="008B5B5D">
        <w:rPr>
          <w:rFonts w:ascii="Segoe UI" w:eastAsia="Times New Roman" w:hAnsi="Segoe UI" w:cs="Segoe UI"/>
          <w:noProof/>
          <w:color w:val="212529"/>
          <w:kern w:val="0"/>
          <w:lang w:eastAsia="fr-FR"/>
          <w14:ligatures w14:val="none"/>
        </w:rPr>
        <w:lastRenderedPageBreak/>
        <w:drawing>
          <wp:inline distT="0" distB="0" distL="0" distR="0" wp14:anchorId="29F612F3" wp14:editId="6041CB44">
            <wp:extent cx="4591050" cy="3810000"/>
            <wp:effectExtent l="0" t="0" r="0" b="0"/>
            <wp:docPr id="2" name="Image 2" descr="Schéma de garantie maison m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éma de garantie maison mè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91050" cy="3810000"/>
                    </a:xfrm>
                    <a:prstGeom prst="rect">
                      <a:avLst/>
                    </a:prstGeom>
                    <a:noFill/>
                    <a:ln>
                      <a:noFill/>
                    </a:ln>
                  </pic:spPr>
                </pic:pic>
              </a:graphicData>
            </a:graphic>
          </wp:inline>
        </w:drawing>
      </w:r>
    </w:p>
    <w:p w14:paraId="734F24C1" w14:textId="77777777" w:rsidR="008B5B5D" w:rsidRPr="008B5B5D" w:rsidRDefault="008B5B5D" w:rsidP="008B5B5D">
      <w:pPr>
        <w:spacing w:after="0" w:line="240" w:lineRule="auto"/>
        <w:jc w:val="both"/>
        <w:rPr>
          <w:rFonts w:ascii="Times New Roman" w:eastAsia="Times New Roman" w:hAnsi="Times New Roman" w:cs="Times New Roman"/>
          <w:kern w:val="0"/>
          <w:lang w:eastAsia="fr-FR"/>
          <w14:ligatures w14:val="none"/>
        </w:rPr>
      </w:pPr>
      <w:r w:rsidRPr="008B5B5D">
        <w:rPr>
          <w:rFonts w:ascii="Segoe UI" w:eastAsia="Times New Roman" w:hAnsi="Segoe UI" w:cs="Segoe UI"/>
          <w:color w:val="212529"/>
          <w:kern w:val="0"/>
          <w:lang w:eastAsia="fr-FR"/>
          <w14:ligatures w14:val="none"/>
        </w:rPr>
        <w:br/>
      </w:r>
      <w:r w:rsidRPr="008B5B5D">
        <w:rPr>
          <w:rFonts w:ascii="Segoe UI" w:eastAsia="Times New Roman" w:hAnsi="Segoe UI" w:cs="Segoe UI"/>
          <w:color w:val="212529"/>
          <w:kern w:val="0"/>
          <w:shd w:val="clear" w:color="auto" w:fill="FFFFFF"/>
          <w:lang w:eastAsia="fr-FR"/>
          <w14:ligatures w14:val="none"/>
        </w:rPr>
        <w:t>Elle doit comporter au minimum :</w:t>
      </w:r>
    </w:p>
    <w:p w14:paraId="3E41E80A" w14:textId="77777777" w:rsidR="008B5B5D" w:rsidRPr="008B5B5D" w:rsidRDefault="008B5B5D" w:rsidP="008B5B5D">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kern w:val="0"/>
          <w:lang w:eastAsia="fr-FR"/>
          <w14:ligatures w14:val="none"/>
        </w:rPr>
      </w:pPr>
      <w:r w:rsidRPr="008B5B5D">
        <w:rPr>
          <w:rFonts w:ascii="Segoe UI" w:eastAsia="Times New Roman" w:hAnsi="Segoe UI" w:cs="Segoe UI"/>
          <w:color w:val="212529"/>
          <w:kern w:val="0"/>
          <w:lang w:eastAsia="fr-FR"/>
          <w14:ligatures w14:val="none"/>
        </w:rPr>
        <w:t>Une définition du périmètre de garantie. Quelle affaire est couverte au titre de la garantie par exemple.</w:t>
      </w:r>
    </w:p>
    <w:p w14:paraId="016F9F14" w14:textId="77777777" w:rsidR="008B5B5D" w:rsidRPr="008B5B5D" w:rsidRDefault="008B5B5D" w:rsidP="008B5B5D">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kern w:val="0"/>
          <w:lang w:eastAsia="fr-FR"/>
          <w14:ligatures w14:val="none"/>
        </w:rPr>
      </w:pPr>
      <w:r w:rsidRPr="008B5B5D">
        <w:rPr>
          <w:rFonts w:ascii="Segoe UI" w:eastAsia="Times New Roman" w:hAnsi="Segoe UI" w:cs="Segoe UI"/>
          <w:color w:val="212529"/>
          <w:kern w:val="0"/>
          <w:lang w:eastAsia="fr-FR"/>
          <w14:ligatures w14:val="none"/>
        </w:rPr>
        <w:t>Un engagement irrévocable de payer, idéalement à première demande, les montants dus par l’obligataire si celui-ci fait défaut. Attention aux clauses restrictives et conditionnelles qui réduisent la qualité de la garantie. Par exemple, une clause stipulant que la garantie pourra jouer si le bénéficiaire apporte une décision de justice en sa faveur.</w:t>
      </w:r>
    </w:p>
    <w:p w14:paraId="323674C5" w14:textId="77777777" w:rsidR="008B5B5D" w:rsidRPr="008B5B5D" w:rsidRDefault="008B5B5D" w:rsidP="008B5B5D">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kern w:val="0"/>
          <w:lang w:eastAsia="fr-FR"/>
          <w14:ligatures w14:val="none"/>
        </w:rPr>
      </w:pPr>
      <w:r w:rsidRPr="008B5B5D">
        <w:rPr>
          <w:rFonts w:ascii="Segoe UI" w:eastAsia="Times New Roman" w:hAnsi="Segoe UI" w:cs="Segoe UI"/>
          <w:color w:val="212529"/>
          <w:kern w:val="0"/>
          <w:lang w:eastAsia="fr-FR"/>
          <w14:ligatures w14:val="none"/>
        </w:rPr>
        <w:t>Un montant maximum d’engagement. Il doit correspondre au risque maximum que vous allez supporter.</w:t>
      </w:r>
    </w:p>
    <w:p w14:paraId="6E2A6D60" w14:textId="77777777" w:rsidR="008B5B5D" w:rsidRPr="008B5B5D" w:rsidRDefault="008B5B5D" w:rsidP="008B5B5D">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kern w:val="0"/>
          <w:lang w:eastAsia="fr-FR"/>
          <w14:ligatures w14:val="none"/>
        </w:rPr>
      </w:pPr>
      <w:r w:rsidRPr="008B5B5D">
        <w:rPr>
          <w:rFonts w:ascii="Segoe UI" w:eastAsia="Times New Roman" w:hAnsi="Segoe UI" w:cs="Segoe UI"/>
          <w:color w:val="212529"/>
          <w:kern w:val="0"/>
          <w:lang w:eastAsia="fr-FR"/>
          <w14:ligatures w14:val="none"/>
        </w:rPr>
        <w:t>Une date de début de validité (</w:t>
      </w:r>
      <w:proofErr w:type="spellStart"/>
      <w:r w:rsidRPr="008B5B5D">
        <w:rPr>
          <w:rFonts w:ascii="Segoe UI" w:eastAsia="Times New Roman" w:hAnsi="Segoe UI" w:cs="Segoe UI"/>
          <w:color w:val="212529"/>
          <w:kern w:val="0"/>
          <w:lang w:eastAsia="fr-FR"/>
          <w14:ligatures w14:val="none"/>
        </w:rPr>
        <w:t>coming</w:t>
      </w:r>
      <w:proofErr w:type="spellEnd"/>
      <w:r w:rsidRPr="008B5B5D">
        <w:rPr>
          <w:rFonts w:ascii="Segoe UI" w:eastAsia="Times New Roman" w:hAnsi="Segoe UI" w:cs="Segoe UI"/>
          <w:color w:val="212529"/>
          <w:kern w:val="0"/>
          <w:lang w:eastAsia="fr-FR"/>
          <w14:ligatures w14:val="none"/>
        </w:rPr>
        <w:t xml:space="preserve"> </w:t>
      </w:r>
      <w:proofErr w:type="spellStart"/>
      <w:r w:rsidRPr="008B5B5D">
        <w:rPr>
          <w:rFonts w:ascii="Segoe UI" w:eastAsia="Times New Roman" w:hAnsi="Segoe UI" w:cs="Segoe UI"/>
          <w:color w:val="212529"/>
          <w:kern w:val="0"/>
          <w:lang w:eastAsia="fr-FR"/>
          <w14:ligatures w14:val="none"/>
        </w:rPr>
        <w:t>into</w:t>
      </w:r>
      <w:proofErr w:type="spellEnd"/>
      <w:r w:rsidRPr="008B5B5D">
        <w:rPr>
          <w:rFonts w:ascii="Segoe UI" w:eastAsia="Times New Roman" w:hAnsi="Segoe UI" w:cs="Segoe UI"/>
          <w:color w:val="212529"/>
          <w:kern w:val="0"/>
          <w:lang w:eastAsia="fr-FR"/>
          <w14:ligatures w14:val="none"/>
        </w:rPr>
        <w:t xml:space="preserve"> force en anglais).</w:t>
      </w:r>
    </w:p>
    <w:p w14:paraId="6CB2EFF9" w14:textId="77777777" w:rsidR="008B5B5D" w:rsidRPr="008B5B5D" w:rsidRDefault="008B5B5D" w:rsidP="008B5B5D">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kern w:val="0"/>
          <w:lang w:eastAsia="fr-FR"/>
          <w14:ligatures w14:val="none"/>
        </w:rPr>
      </w:pPr>
      <w:r w:rsidRPr="008B5B5D">
        <w:rPr>
          <w:rFonts w:ascii="Segoe UI" w:eastAsia="Times New Roman" w:hAnsi="Segoe UI" w:cs="Segoe UI"/>
          <w:color w:val="212529"/>
          <w:kern w:val="0"/>
          <w:lang w:eastAsia="fr-FR"/>
          <w14:ligatures w14:val="none"/>
        </w:rPr>
        <w:t>Une durée de validité. Exigez une durée de validité qui couvre pleinement votre engagement.</w:t>
      </w:r>
    </w:p>
    <w:p w14:paraId="27AD21DD" w14:textId="77777777" w:rsidR="008B5B5D" w:rsidRPr="008B5B5D" w:rsidRDefault="008B5B5D" w:rsidP="008B5B5D">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kern w:val="0"/>
          <w:lang w:eastAsia="fr-FR"/>
          <w14:ligatures w14:val="none"/>
        </w:rPr>
      </w:pPr>
      <w:r w:rsidRPr="008B5B5D">
        <w:rPr>
          <w:rFonts w:ascii="Segoe UI" w:eastAsia="Times New Roman" w:hAnsi="Segoe UI" w:cs="Segoe UI"/>
          <w:color w:val="212529"/>
          <w:kern w:val="0"/>
          <w:lang w:eastAsia="fr-FR"/>
          <w14:ligatures w14:val="none"/>
        </w:rPr>
        <w:t>Les tribunaux compétents en cas de litige : assurez-vous qu’il ne s’agit pas de tribunaux d’un pays dans lequel vous n’êtes pas présent et / ou qui est passablement corrompu.</w:t>
      </w:r>
    </w:p>
    <w:p w14:paraId="37F8DF3F" w14:textId="77777777" w:rsidR="008B5B5D" w:rsidRPr="008B5B5D" w:rsidRDefault="008B5B5D" w:rsidP="008B5B5D">
      <w:pPr>
        <w:shd w:val="clear" w:color="auto" w:fill="FFFFFF"/>
        <w:spacing w:before="120" w:after="100" w:afterAutospacing="1" w:line="240" w:lineRule="auto"/>
        <w:jc w:val="both"/>
        <w:outlineLvl w:val="1"/>
        <w:rPr>
          <w:rFonts w:ascii="Segoe UI" w:eastAsia="Times New Roman" w:hAnsi="Segoe UI" w:cs="Segoe UI"/>
          <w:b/>
          <w:bCs/>
          <w:color w:val="157FA7"/>
          <w:kern w:val="0"/>
          <w:sz w:val="36"/>
          <w:szCs w:val="36"/>
          <w:lang w:eastAsia="fr-FR"/>
          <w14:ligatures w14:val="none"/>
        </w:rPr>
      </w:pPr>
      <w:r w:rsidRPr="008B5B5D">
        <w:rPr>
          <w:rFonts w:ascii="Segoe UI" w:eastAsia="Times New Roman" w:hAnsi="Segoe UI" w:cs="Segoe UI"/>
          <w:b/>
          <w:bCs/>
          <w:color w:val="157FA7"/>
          <w:kern w:val="0"/>
          <w:sz w:val="36"/>
          <w:szCs w:val="36"/>
          <w:lang w:eastAsia="fr-FR"/>
          <w14:ligatures w14:val="none"/>
        </w:rPr>
        <w:t>Le piège de la lettre de confort</w:t>
      </w:r>
    </w:p>
    <w:p w14:paraId="6199440F" w14:textId="77777777" w:rsidR="008B5B5D" w:rsidRPr="008B5B5D" w:rsidRDefault="008B5B5D" w:rsidP="008B5B5D">
      <w:pPr>
        <w:spacing w:after="0" w:line="240" w:lineRule="auto"/>
        <w:jc w:val="both"/>
        <w:rPr>
          <w:rFonts w:ascii="Times New Roman" w:eastAsia="Times New Roman" w:hAnsi="Times New Roman" w:cs="Times New Roman"/>
          <w:kern w:val="0"/>
          <w:lang w:eastAsia="fr-FR"/>
          <w14:ligatures w14:val="none"/>
        </w:rPr>
      </w:pPr>
      <w:r w:rsidRPr="008B5B5D">
        <w:rPr>
          <w:rFonts w:ascii="Segoe UI" w:eastAsia="Times New Roman" w:hAnsi="Segoe UI" w:cs="Segoe UI"/>
          <w:color w:val="212529"/>
          <w:kern w:val="0"/>
          <w:shd w:val="clear" w:color="auto" w:fill="FFFFFF"/>
          <w:lang w:eastAsia="fr-FR"/>
          <w14:ligatures w14:val="none"/>
        </w:rPr>
        <w:t xml:space="preserve">Il est fréquent qu’une simple lettre de confort soit assimilée à une garantie maison mère. Ce n’est pas le cas ! La lettre de confort n’a aucune valeur juridique et n’apporte rien d’autre qu’un engagement moral. Il s’agit d’une lettre d’intention qui n’engage </w:t>
      </w:r>
      <w:r w:rsidRPr="008B5B5D">
        <w:rPr>
          <w:rFonts w:ascii="Segoe UI" w:eastAsia="Times New Roman" w:hAnsi="Segoe UI" w:cs="Segoe UI"/>
          <w:color w:val="212529"/>
          <w:kern w:val="0"/>
          <w:shd w:val="clear" w:color="auto" w:fill="FFFFFF"/>
          <w:lang w:eastAsia="fr-FR"/>
          <w14:ligatures w14:val="none"/>
        </w:rPr>
        <w:lastRenderedPageBreak/>
        <w:t>juridiquement en rien et dont le bénéficiaire ne pourra rien faire en cas de litige.</w:t>
      </w:r>
      <w:r w:rsidRPr="008B5B5D">
        <w:rPr>
          <w:rFonts w:ascii="Segoe UI" w:eastAsia="Times New Roman" w:hAnsi="Segoe UI" w:cs="Segoe UI"/>
          <w:color w:val="212529"/>
          <w:kern w:val="0"/>
          <w:lang w:eastAsia="fr-FR"/>
          <w14:ligatures w14:val="none"/>
        </w:rPr>
        <w:br/>
      </w:r>
      <w:r w:rsidRPr="008B5B5D">
        <w:rPr>
          <w:rFonts w:ascii="Segoe UI" w:eastAsia="Times New Roman" w:hAnsi="Segoe UI" w:cs="Segoe UI"/>
          <w:color w:val="212529"/>
          <w:kern w:val="0"/>
          <w:lang w:eastAsia="fr-FR"/>
          <w14:ligatures w14:val="none"/>
        </w:rPr>
        <w:br/>
      </w:r>
      <w:r w:rsidRPr="008B5B5D">
        <w:rPr>
          <w:rFonts w:ascii="Segoe UI" w:eastAsia="Times New Roman" w:hAnsi="Segoe UI" w:cs="Segoe UI"/>
          <w:color w:val="212529"/>
          <w:kern w:val="0"/>
          <w:shd w:val="clear" w:color="auto" w:fill="FFFFFF"/>
          <w:lang w:eastAsia="fr-FR"/>
          <w14:ligatures w14:val="none"/>
        </w:rPr>
        <w:t>Elle peut cependant être un plus dans la sécurisation de ses affaires si le Groupe est d’une réputation et d’une éthique irréprochable. Certains grands groupes cotés en bourse refusent d’accorder une garantie maison mère car il s’agit d’engagements hors bilan qui doivent être mentionnés dans les rapports annuels.</w:t>
      </w:r>
    </w:p>
    <w:p w14:paraId="4FD4DAED" w14:textId="77777777" w:rsidR="008B5B5D" w:rsidRPr="008B5B5D" w:rsidRDefault="008B5B5D" w:rsidP="008B5B5D">
      <w:pPr>
        <w:shd w:val="clear" w:color="auto" w:fill="DDF6FF"/>
        <w:spacing w:after="0" w:line="240" w:lineRule="auto"/>
        <w:jc w:val="both"/>
        <w:rPr>
          <w:rFonts w:ascii="Segoe UI" w:eastAsia="Times New Roman" w:hAnsi="Segoe UI" w:cs="Segoe UI"/>
          <w:color w:val="0D4F68"/>
          <w:kern w:val="0"/>
          <w:lang w:eastAsia="fr-FR"/>
          <w14:ligatures w14:val="none"/>
        </w:rPr>
      </w:pPr>
      <w:r w:rsidRPr="008B5B5D">
        <w:rPr>
          <w:rFonts w:ascii="Segoe UI" w:eastAsia="Times New Roman" w:hAnsi="Segoe UI" w:cs="Segoe UI"/>
          <w:noProof/>
          <w:color w:val="0D4F68"/>
          <w:kern w:val="0"/>
          <w:lang w:eastAsia="fr-FR"/>
          <w14:ligatures w14:val="none"/>
        </w:rPr>
        <w:drawing>
          <wp:inline distT="0" distB="0" distL="0" distR="0" wp14:anchorId="571FEB7C" wp14:editId="7E99D094">
            <wp:extent cx="114300" cy="104775"/>
            <wp:effectExtent l="0" t="0" r="0" b="9525"/>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sidRPr="008B5B5D">
        <w:rPr>
          <w:rFonts w:ascii="Segoe UI" w:eastAsia="Times New Roman" w:hAnsi="Segoe UI" w:cs="Segoe UI"/>
          <w:color w:val="0D4F68"/>
          <w:kern w:val="0"/>
          <w:lang w:eastAsia="fr-FR"/>
          <w14:ligatures w14:val="none"/>
        </w:rPr>
        <w:t> La PCG reste dans tous les cas un outil reposant sur la bonne volonté du garant. En cas de litige, le bénéficiaire devra aller devant les tribunaux pour contraindre le garant à honorer son engagement. Il ne s’agit donc pas d’une garantie de même niveau qu’une garantie bancaire de paiement à première demande qui a l’avantage d’être immédiate, le bénéficiaire étant payé dès réception de sa demande.</w:t>
      </w:r>
    </w:p>
    <w:p w14:paraId="05124062" w14:textId="77777777" w:rsidR="008B5B5D" w:rsidRPr="008B5B5D" w:rsidRDefault="008B5B5D" w:rsidP="008B5B5D">
      <w:pPr>
        <w:spacing w:after="0" w:line="240" w:lineRule="auto"/>
        <w:rPr>
          <w:rFonts w:ascii="Times New Roman" w:eastAsia="Times New Roman" w:hAnsi="Times New Roman" w:cs="Times New Roman"/>
          <w:kern w:val="0"/>
          <w:lang w:eastAsia="fr-FR"/>
          <w14:ligatures w14:val="none"/>
        </w:rPr>
      </w:pPr>
      <w:r w:rsidRPr="008B5B5D">
        <w:rPr>
          <w:rFonts w:ascii="Segoe UI" w:eastAsia="Times New Roman" w:hAnsi="Segoe UI" w:cs="Segoe UI"/>
          <w:color w:val="212529"/>
          <w:kern w:val="0"/>
          <w:shd w:val="clear" w:color="auto" w:fill="FFFFFF"/>
          <w:lang w:eastAsia="fr-FR"/>
          <w14:ligatures w14:val="none"/>
        </w:rPr>
        <w:t>Cependant, elle peut être intégrée dans des montages qui procurent un bon niveau de couverture. Un assureur crédit sera plus enclin à accorder une garantie si une PCG est en place. Elle peut donc servir de tremplin pour obtenir une garantie de meilleure qualité.</w:t>
      </w:r>
    </w:p>
    <w:p w14:paraId="283C93DE" w14:textId="77777777" w:rsidR="008B5B5D" w:rsidRPr="008B5B5D" w:rsidRDefault="008B5B5D" w:rsidP="008B5B5D">
      <w:pPr>
        <w:shd w:val="clear" w:color="auto" w:fill="FFFFFF"/>
        <w:spacing w:before="120" w:after="100" w:afterAutospacing="1" w:line="240" w:lineRule="auto"/>
        <w:outlineLvl w:val="1"/>
        <w:rPr>
          <w:rFonts w:ascii="Segoe UI" w:eastAsia="Times New Roman" w:hAnsi="Segoe UI" w:cs="Segoe UI"/>
          <w:b/>
          <w:bCs/>
          <w:color w:val="157FA7"/>
          <w:kern w:val="0"/>
          <w:sz w:val="36"/>
          <w:szCs w:val="36"/>
          <w:lang w:eastAsia="fr-FR"/>
          <w14:ligatures w14:val="none"/>
        </w:rPr>
      </w:pPr>
      <w:r w:rsidRPr="008B5B5D">
        <w:rPr>
          <w:rFonts w:ascii="Segoe UI" w:eastAsia="Times New Roman" w:hAnsi="Segoe UI" w:cs="Segoe UI"/>
          <w:b/>
          <w:bCs/>
          <w:color w:val="157FA7"/>
          <w:kern w:val="0"/>
          <w:sz w:val="36"/>
          <w:szCs w:val="36"/>
          <w:lang w:eastAsia="fr-FR"/>
          <w14:ligatures w14:val="none"/>
        </w:rPr>
        <w:t>Quels risques pour le garant en cas de procédure collective de sa filiale ?</w:t>
      </w:r>
    </w:p>
    <w:p w14:paraId="6E8AED72" w14:textId="26B972D4" w:rsidR="008B5B5D" w:rsidRDefault="008B5B5D" w:rsidP="008B5B5D">
      <w:pPr>
        <w:jc w:val="both"/>
      </w:pPr>
      <w:r w:rsidRPr="008B5B5D">
        <w:rPr>
          <w:rFonts w:ascii="Segoe UI" w:eastAsia="Times New Roman" w:hAnsi="Segoe UI" w:cs="Segoe UI"/>
          <w:color w:val="212529"/>
          <w:kern w:val="0"/>
          <w:shd w:val="clear" w:color="auto" w:fill="FFFFFF"/>
          <w:lang w:eastAsia="fr-FR"/>
          <w14:ligatures w14:val="none"/>
        </w:rPr>
        <w:t>Si la filiale fait défaut et est placée en procédure de redressement judiciaire ou de sauvegarde, le gel du passif la protège de ses créanciers. Ce n’est pas le cas de la holding qui doit ensuite assumer son engagement. Le risque est donc de voir la holding se placer également en procédure collective si elle ne peut faire face à cet engagement.</w:t>
      </w:r>
      <w:r w:rsidRPr="008B5B5D">
        <w:rPr>
          <w:rFonts w:ascii="Segoe UI" w:eastAsia="Times New Roman" w:hAnsi="Segoe UI" w:cs="Segoe UI"/>
          <w:color w:val="212529"/>
          <w:kern w:val="0"/>
          <w:lang w:eastAsia="fr-FR"/>
          <w14:ligatures w14:val="none"/>
        </w:rPr>
        <w:br/>
      </w:r>
      <w:r w:rsidRPr="008B5B5D">
        <w:rPr>
          <w:rFonts w:ascii="Segoe UI" w:eastAsia="Times New Roman" w:hAnsi="Segoe UI" w:cs="Segoe UI"/>
          <w:color w:val="212529"/>
          <w:kern w:val="0"/>
          <w:shd w:val="clear" w:color="auto" w:fill="FFFFFF"/>
          <w:lang w:eastAsia="fr-FR"/>
          <w14:ligatures w14:val="none"/>
        </w:rPr>
        <w:t xml:space="preserve">Cet exemple illustre que ce type de garantie n’annule pas le risque mais le </w:t>
      </w:r>
      <w:proofErr w:type="spellStart"/>
      <w:r w:rsidRPr="008B5B5D">
        <w:rPr>
          <w:rFonts w:ascii="Segoe UI" w:eastAsia="Times New Roman" w:hAnsi="Segoe UI" w:cs="Segoe UI"/>
          <w:color w:val="212529"/>
          <w:kern w:val="0"/>
          <w:shd w:val="clear" w:color="auto" w:fill="FFFFFF"/>
          <w:lang w:eastAsia="fr-FR"/>
          <w14:ligatures w14:val="none"/>
        </w:rPr>
        <w:t>transfère</w:t>
      </w:r>
      <w:proofErr w:type="spellEnd"/>
      <w:r w:rsidRPr="008B5B5D">
        <w:rPr>
          <w:rFonts w:ascii="Segoe UI" w:eastAsia="Times New Roman" w:hAnsi="Segoe UI" w:cs="Segoe UI"/>
          <w:color w:val="212529"/>
          <w:kern w:val="0"/>
          <w:shd w:val="clear" w:color="auto" w:fill="FFFFFF"/>
          <w:lang w:eastAsia="fr-FR"/>
          <w14:ligatures w14:val="none"/>
        </w:rPr>
        <w:t xml:space="preserve"> sur la maison mère. Il convient donc de s’assurer de la solvabilité de cette dernière et de sa capacité à assumer ce risque et ses engagements. Une PCG avec une holding qui serait en réalité une coquille vide n’apporte rien, si ce n’est un risque encore plus important.</w:t>
      </w:r>
    </w:p>
    <w:sectPr w:rsidR="008B5B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2293A"/>
    <w:multiLevelType w:val="multilevel"/>
    <w:tmpl w:val="EBF8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304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B5D"/>
    <w:rsid w:val="00306E20"/>
    <w:rsid w:val="00306E8E"/>
    <w:rsid w:val="008B5B5D"/>
    <w:rsid w:val="00AF7E60"/>
    <w:rsid w:val="00BD43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FC654"/>
  <w15:chartTrackingRefBased/>
  <w15:docId w15:val="{22C4175D-941F-4C74-971F-EE9F1EACD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B5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B5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B5B5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B5B5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B5B5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B5B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B5B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B5B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B5B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B5B5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B5B5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B5B5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B5B5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B5B5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B5B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B5B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B5B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B5B5D"/>
    <w:rPr>
      <w:rFonts w:eastAsiaTheme="majorEastAsia" w:cstheme="majorBidi"/>
      <w:color w:val="272727" w:themeColor="text1" w:themeTint="D8"/>
    </w:rPr>
  </w:style>
  <w:style w:type="paragraph" w:styleId="Titre">
    <w:name w:val="Title"/>
    <w:basedOn w:val="Normal"/>
    <w:next w:val="Normal"/>
    <w:link w:val="TitreCar"/>
    <w:uiPriority w:val="10"/>
    <w:qFormat/>
    <w:rsid w:val="008B5B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B5B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B5B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B5B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B5B5D"/>
    <w:pPr>
      <w:spacing w:before="160"/>
      <w:jc w:val="center"/>
    </w:pPr>
    <w:rPr>
      <w:i/>
      <w:iCs/>
      <w:color w:val="404040" w:themeColor="text1" w:themeTint="BF"/>
    </w:rPr>
  </w:style>
  <w:style w:type="character" w:customStyle="1" w:styleId="CitationCar">
    <w:name w:val="Citation Car"/>
    <w:basedOn w:val="Policepardfaut"/>
    <w:link w:val="Citation"/>
    <w:uiPriority w:val="29"/>
    <w:rsid w:val="008B5B5D"/>
    <w:rPr>
      <w:i/>
      <w:iCs/>
      <w:color w:val="404040" w:themeColor="text1" w:themeTint="BF"/>
    </w:rPr>
  </w:style>
  <w:style w:type="paragraph" w:styleId="Paragraphedeliste">
    <w:name w:val="List Paragraph"/>
    <w:basedOn w:val="Normal"/>
    <w:uiPriority w:val="34"/>
    <w:qFormat/>
    <w:rsid w:val="008B5B5D"/>
    <w:pPr>
      <w:ind w:left="720"/>
      <w:contextualSpacing/>
    </w:pPr>
  </w:style>
  <w:style w:type="character" w:styleId="Accentuationintense">
    <w:name w:val="Intense Emphasis"/>
    <w:basedOn w:val="Policepardfaut"/>
    <w:uiPriority w:val="21"/>
    <w:qFormat/>
    <w:rsid w:val="008B5B5D"/>
    <w:rPr>
      <w:i/>
      <w:iCs/>
      <w:color w:val="0F4761" w:themeColor="accent1" w:themeShade="BF"/>
    </w:rPr>
  </w:style>
  <w:style w:type="paragraph" w:styleId="Citationintense">
    <w:name w:val="Intense Quote"/>
    <w:basedOn w:val="Normal"/>
    <w:next w:val="Normal"/>
    <w:link w:val="CitationintenseCar"/>
    <w:uiPriority w:val="30"/>
    <w:qFormat/>
    <w:rsid w:val="008B5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B5B5D"/>
    <w:rPr>
      <w:i/>
      <w:iCs/>
      <w:color w:val="0F4761" w:themeColor="accent1" w:themeShade="BF"/>
    </w:rPr>
  </w:style>
  <w:style w:type="character" w:styleId="Rfrenceintense">
    <w:name w:val="Intense Reference"/>
    <w:basedOn w:val="Policepardfaut"/>
    <w:uiPriority w:val="32"/>
    <w:qFormat/>
    <w:rsid w:val="008B5B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etrepaye.fr/la-caution-solidaire-c2-r25.ph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833</Words>
  <Characters>4777</Characters>
  <Application>Microsoft Office Word</Application>
  <DocSecurity>0</DocSecurity>
  <Lines>144</Lines>
  <Paragraphs>83</Paragraphs>
  <ScaleCrop>false</ScaleCrop>
  <Company>GRAND PORT MARITIME DE MARSEILLE</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1</cp:revision>
  <dcterms:created xsi:type="dcterms:W3CDTF">2026-01-28T06:22:00Z</dcterms:created>
  <dcterms:modified xsi:type="dcterms:W3CDTF">2026-01-28T06:28:00Z</dcterms:modified>
</cp:coreProperties>
</file>