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EE8D1" w14:textId="74E07F2A" w:rsidR="00D6568E" w:rsidRPr="00D6568E" w:rsidRDefault="00D6568E" w:rsidP="00D656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fldChar w:fldCharType="begin"/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instrText>HYPERLINK "https://www.ccomptes.fr/fr/publications/chambre-departementale-dagriculture-de-loir-et-cher-0" \t "_blank"</w:instrTex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fldChar w:fldCharType="separate"/>
      </w:r>
      <w:r w:rsidRPr="00D6568E">
        <w:rPr>
          <w:rFonts w:ascii="Arial" w:eastAsia="Times New Roman" w:hAnsi="Arial" w:cs="Arial"/>
          <w:color w:val="2266AA"/>
          <w:kern w:val="0"/>
          <w:sz w:val="21"/>
          <w:szCs w:val="21"/>
          <w:u w:val="single"/>
          <w:lang w:eastAsia="fr-FR"/>
          <w14:ligatures w14:val="none"/>
        </w:rPr>
        <w:t>Chambre départementale d'agriculture de Loir-et-Cher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fldChar w:fldCharType="end"/>
      </w:r>
      <w:r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</w:t>
      </w:r>
    </w:p>
    <w:p w14:paraId="383690B0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</w:p>
    <w:p w14:paraId="20598608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Par décision du 25 septembre 2024, le procureur général près la Cour des comptes avait renvoyé devant la chambre du contentieux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les présidents et les agents comptables successifs de la chambre départementale d’agriculture de Loir-et-Cher depuis 2018,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  <w:proofErr w:type="spell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aﬁn</w:t>
      </w:r>
      <w:proofErr w:type="spell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que leur responsabilité soit éventuellement engagée au titre des infractions </w:t>
      </w:r>
      <w:proofErr w:type="spell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déﬁnies</w:t>
      </w:r>
      <w:proofErr w:type="spell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par le code des juridictions </w:t>
      </w:r>
      <w:proofErr w:type="spell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ﬁnancières</w:t>
      </w:r>
      <w:proofErr w:type="spell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(CJF).</w:t>
      </w:r>
    </w:p>
    <w:p w14:paraId="2577AF6F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</w:p>
    <w:p w14:paraId="7B91F695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Par un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premier arrêt du 6 février 2025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, la Cour des comptes avait transmis au Conseil constitutionnel une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question prioritaire de constitutionnalité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 relative aux articles L. 131-16 et L. 131-17 du CJF </w:t>
      </w:r>
      <w:proofErr w:type="spell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déﬁnissant</w:t>
      </w:r>
      <w:proofErr w:type="spell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respectivement les plafonds des amendes susceptibles d’être </w:t>
      </w:r>
      <w:proofErr w:type="spell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inﬂigées</w:t>
      </w:r>
      <w:proofErr w:type="spell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en fonction soit de la rémunération de la personne condamnée soit de la rémunération d’un directeur d’administration centrale lorsque la personne ne </w:t>
      </w:r>
      <w:proofErr w:type="spell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bénéﬁciait</w:t>
      </w:r>
      <w:proofErr w:type="spell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ni d’un salaire ni d’un traitement. Le Conseil constitutionnel a estimé qu’il était saisi du seul article L. 131-17 qu’il a jugé inconstitutionnel le 18 juillet 2025.</w:t>
      </w:r>
    </w:p>
    <w:p w14:paraId="29ADBA5A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</w:p>
    <w:p w14:paraId="08D2CADE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L’</w:t>
      </w:r>
      <w:proofErr w:type="spell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aﬀaire</w:t>
      </w:r>
      <w:proofErr w:type="spell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est donc revenue à l’audience devant la Cour qui, dans le présent arrêt, a jugé que l’infraction de </w:t>
      </w:r>
      <w:proofErr w:type="gramStart"/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non production</w:t>
      </w:r>
      <w:proofErr w:type="gramEnd"/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 xml:space="preserve"> de compte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prévue au 1° de l’article L. 131-13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n’était pas caractérisée pour les comptes 2018 et 2019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.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Elle l’était, en revanche, pour les comptes 2020 à 2022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, produits tardivement et parfois sans les annexes prévues par la réglementation, adoptés avec retard par l’organe délibérant, signés par l’ordonnateur et le comptable postérieurement à cette adoption et </w:t>
      </w:r>
      <w:proofErr w:type="spell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modiﬁés</w:t>
      </w:r>
      <w:proofErr w:type="spell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après leur approbation par la tutelle en méconnaissance du principe d’intangibilité des comptes publics.</w:t>
      </w:r>
    </w:p>
    <w:p w14:paraId="19BD54A8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</w:p>
    <w:p w14:paraId="0F6578BE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Elle a considéré que ces mêmes faits n’étaient toutefois pas constitutifs de l’infraction </w:t>
      </w:r>
      <w:proofErr w:type="spell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déﬁnie</w:t>
      </w:r>
      <w:proofErr w:type="spell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par l’article L. 131-9 du CJF. Ces manquements constituaient certes une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faute grave mais,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 eu égard au </w:t>
      </w:r>
      <w:proofErr w:type="spell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ﬁnancement</w:t>
      </w:r>
      <w:proofErr w:type="spell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par Chambres d’agriculture France d’une grande partie du coût de l’intervention d’un prestataire de service consécutive à ces dysfonctionnements, le préjudice subi ne pouvait être regardé comme </w:t>
      </w:r>
      <w:proofErr w:type="spell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signiﬁcatif</w:t>
      </w:r>
      <w:proofErr w:type="spell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.</w:t>
      </w:r>
    </w:p>
    <w:p w14:paraId="42D5BDFB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</w:p>
    <w:p w14:paraId="1CE61F6D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Sur le fondement de l’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article L. 131-16 du CJF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que sa rédaction, à caractère général, rend applicable à tous les acteurs de la chambre d’agriculture percevant une rémunération,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son président a été condamné pour le défaut de production des comptes 2020 à 2022 à une amende de 1 000 €.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 xml:space="preserve">La comptable, compte-tenu des circonstances atténuantes dont elle a </w:t>
      </w:r>
      <w:proofErr w:type="spellStart"/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bénéﬁcié</w:t>
      </w:r>
      <w:proofErr w:type="spellEnd"/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, a été dispensée de peine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. L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e président et les comptables ont été relaxés s’agissant de la production des comptes 2018 et 2019.</w:t>
      </w:r>
    </w:p>
    <w:p w14:paraId="435058E3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</w:p>
    <w:p w14:paraId="7C6ED075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Cet arrêt montre que l'ordonnateur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u w:val="single"/>
          <w:lang w:eastAsia="fr-FR"/>
          <w14:ligatures w14:val="none"/>
        </w:rPr>
        <w:t>et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 le comptable sont responsables de la production des comptes. </w:t>
      </w:r>
    </w:p>
    <w:p w14:paraId="42400A18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</w:p>
    <w:p w14:paraId="2DD022A5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Dans </w:t>
      </w:r>
      <w:proofErr w:type="gram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ce</w:t>
      </w:r>
      <w:proofErr w:type="gram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arrêt, il est reproché plusieurs fautes :</w:t>
      </w:r>
    </w:p>
    <w:p w14:paraId="24CDEB4F" w14:textId="77777777" w:rsidR="00D6568E" w:rsidRPr="00D6568E" w:rsidRDefault="00D6568E" w:rsidP="00D656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production tardive</w:t>
      </w:r>
    </w:p>
    <w:p w14:paraId="0AC90799" w14:textId="77777777" w:rsidR="00D6568E" w:rsidRPr="00D6568E" w:rsidRDefault="00D6568E" w:rsidP="00D656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sans les annexes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prévues par la réglementation,</w:t>
      </w:r>
    </w:p>
    <w:p w14:paraId="5D354083" w14:textId="77777777" w:rsidR="00D6568E" w:rsidRPr="00D6568E" w:rsidRDefault="00D6568E" w:rsidP="00D656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adoptés avec retard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par l’organe délibérant,</w:t>
      </w:r>
    </w:p>
    <w:p w14:paraId="5EF8C9D0" w14:textId="77777777" w:rsidR="00D6568E" w:rsidRPr="00D6568E" w:rsidRDefault="00D6568E" w:rsidP="00D656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signés par l’ordonnateur et le comptable postérieurement à cette adoption</w:t>
      </w:r>
    </w:p>
    <w:p w14:paraId="096323CE" w14:textId="77777777" w:rsidR="00D6568E" w:rsidRPr="00D6568E" w:rsidRDefault="00D6568E" w:rsidP="00D656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et </w:t>
      </w:r>
      <w:proofErr w:type="spellStart"/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modiﬁés</w:t>
      </w:r>
      <w:proofErr w:type="spellEnd"/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 xml:space="preserve"> après leur approbation par la tutelle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en méconnaissance du principe d’intangibilité des comptes publics.</w:t>
      </w:r>
    </w:p>
    <w:p w14:paraId="3B615740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</w:p>
    <w:p w14:paraId="205CFBAF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A quelques mois de la confession, de la présentation et du vote du compte financier par les instances délibérantes, cet arrêt met l'accent sur ce que l'article L.131-13 - 1° </w:t>
      </w:r>
      <w:proofErr w:type="gramStart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non production</w:t>
      </w:r>
      <w:proofErr w:type="gramEnd"/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 xml:space="preserve"> des comptes, peut recouvrir.</w:t>
      </w:r>
    </w:p>
    <w:p w14:paraId="2A301C5A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</w:p>
    <w:p w14:paraId="12BC6FE1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Sur l'absence de peine de la comptable, la cour a relevé les circonstances atténuantes suivantes : </w:t>
      </w:r>
    </w:p>
    <w:p w14:paraId="621CD3A4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lastRenderedPageBreak/>
        <w:t> </w:t>
      </w:r>
    </w:p>
    <w:p w14:paraId="06F030AB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Mme X, confrontée à des dysfonctionnements comptables d’ampleur et anciens,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br/>
      </w: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s’est attachée à mettre en évidence les anomalies comptables,</w:t>
      </w:r>
    </w:p>
    <w:p w14:paraId="4787CDC9" w14:textId="77777777" w:rsidR="00D6568E" w:rsidRPr="00D6568E" w:rsidRDefault="00D6568E" w:rsidP="00D6568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b/>
          <w:bCs/>
          <w:i/>
          <w:iCs/>
          <w:color w:val="4A4A52"/>
          <w:kern w:val="0"/>
          <w:sz w:val="21"/>
          <w:szCs w:val="21"/>
          <w:lang w:eastAsia="fr-FR"/>
          <w14:ligatures w14:val="none"/>
        </w:rPr>
        <w:t>a alerté à plusieurs reprises diverses autorités</w:t>
      </w: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 susceptibles d’y porter remède</w:t>
      </w:r>
    </w:p>
    <w:p w14:paraId="3FEE84AA" w14:textId="77777777" w:rsidR="00D6568E" w:rsidRPr="00D6568E" w:rsidRDefault="00D6568E" w:rsidP="00D6568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et </w:t>
      </w:r>
      <w:r w:rsidRPr="00D6568E">
        <w:rPr>
          <w:rFonts w:ascii="Arial" w:eastAsia="Times New Roman" w:hAnsi="Arial" w:cs="Arial"/>
          <w:b/>
          <w:bCs/>
          <w:i/>
          <w:iCs/>
          <w:color w:val="4A4A52"/>
          <w:kern w:val="0"/>
          <w:sz w:val="21"/>
          <w:szCs w:val="21"/>
          <w:lang w:eastAsia="fr-FR"/>
          <w14:ligatures w14:val="none"/>
        </w:rPr>
        <w:t>a effectué un important travail de régularisation</w:t>
      </w: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.</w:t>
      </w:r>
    </w:p>
    <w:p w14:paraId="3C645622" w14:textId="77777777" w:rsidR="00D6568E" w:rsidRPr="00D6568E" w:rsidRDefault="00D6568E" w:rsidP="00D6568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Sa charge de travail était considérable en raison des </w:t>
      </w:r>
      <w:r w:rsidRPr="00D6568E">
        <w:rPr>
          <w:rFonts w:ascii="Arial" w:eastAsia="Times New Roman" w:hAnsi="Arial" w:cs="Arial"/>
          <w:b/>
          <w:bCs/>
          <w:i/>
          <w:iCs/>
          <w:color w:val="4A4A52"/>
          <w:kern w:val="0"/>
          <w:sz w:val="21"/>
          <w:szCs w:val="21"/>
          <w:lang w:eastAsia="fr-FR"/>
          <w14:ligatures w14:val="none"/>
        </w:rPr>
        <w:t>cumuls de fonctions</w:t>
      </w: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 dont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elle avait la responsabilité.</w:t>
      </w:r>
    </w:p>
    <w:p w14:paraId="70493129" w14:textId="77777777" w:rsidR="00D6568E" w:rsidRPr="00D6568E" w:rsidRDefault="00D6568E" w:rsidP="00D6568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Elle a également subi les nombreuses et </w:t>
      </w:r>
      <w:r w:rsidRPr="00D6568E">
        <w:rPr>
          <w:rFonts w:ascii="Arial" w:eastAsia="Times New Roman" w:hAnsi="Arial" w:cs="Arial"/>
          <w:b/>
          <w:bCs/>
          <w:i/>
          <w:iCs/>
          <w:color w:val="4A4A52"/>
          <w:kern w:val="0"/>
          <w:sz w:val="21"/>
          <w:szCs w:val="21"/>
          <w:lang w:eastAsia="fr-FR"/>
          <w14:ligatures w14:val="none"/>
        </w:rPr>
        <w:t>graves carences du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  <w:r w:rsidRPr="00D6568E">
        <w:rPr>
          <w:rFonts w:ascii="Arial" w:eastAsia="Times New Roman" w:hAnsi="Arial" w:cs="Arial"/>
          <w:b/>
          <w:bCs/>
          <w:i/>
          <w:iCs/>
          <w:color w:val="4A4A52"/>
          <w:kern w:val="0"/>
          <w:sz w:val="21"/>
          <w:szCs w:val="21"/>
          <w:lang w:eastAsia="fr-FR"/>
          <w14:ligatures w14:val="none"/>
        </w:rPr>
        <w:t>système d’information financier en cours de déploiement</w:t>
      </w: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.</w:t>
      </w:r>
    </w:p>
    <w:p w14:paraId="42EFF7CB" w14:textId="77777777" w:rsidR="00D6568E" w:rsidRPr="00D6568E" w:rsidRDefault="00D6568E" w:rsidP="00D6568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Enfin, sa </w:t>
      </w:r>
      <w:r w:rsidRPr="00D6568E">
        <w:rPr>
          <w:rFonts w:ascii="Arial" w:eastAsia="Times New Roman" w:hAnsi="Arial" w:cs="Arial"/>
          <w:b/>
          <w:bCs/>
          <w:i/>
          <w:iCs/>
          <w:color w:val="4A4A52"/>
          <w:kern w:val="0"/>
          <w:sz w:val="21"/>
          <w:szCs w:val="21"/>
          <w:lang w:eastAsia="fr-FR"/>
          <w14:ligatures w14:val="none"/>
        </w:rPr>
        <w:t>prise de fonction a eu lieu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  <w:r w:rsidRPr="00D6568E">
        <w:rPr>
          <w:rFonts w:ascii="Arial" w:eastAsia="Times New Roman" w:hAnsi="Arial" w:cs="Arial"/>
          <w:b/>
          <w:bCs/>
          <w:i/>
          <w:iCs/>
          <w:color w:val="4A4A52"/>
          <w:kern w:val="0"/>
          <w:sz w:val="21"/>
          <w:szCs w:val="21"/>
          <w:lang w:eastAsia="fr-FR"/>
          <w14:ligatures w14:val="none"/>
        </w:rPr>
        <w:t>au cours de la crise sanitaire</w:t>
      </w: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.</w:t>
      </w:r>
    </w:p>
    <w:p w14:paraId="0B01F101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Elle bénéficie donc de </w:t>
      </w:r>
      <w:proofErr w:type="gramStart"/>
      <w:r w:rsidRPr="00D6568E">
        <w:rPr>
          <w:rFonts w:ascii="Arial" w:eastAsia="Times New Roman" w:hAnsi="Arial" w:cs="Arial"/>
          <w:b/>
          <w:bCs/>
          <w:i/>
          <w:iCs/>
          <w:color w:val="4A4A52"/>
          <w:kern w:val="0"/>
          <w:sz w:val="21"/>
          <w:szCs w:val="21"/>
          <w:lang w:eastAsia="fr-FR"/>
          <w14:ligatures w14:val="none"/>
        </w:rPr>
        <w:t>larges</w:t>
      </w:r>
      <w:r w:rsidRPr="00D6568E">
        <w:rPr>
          <w:rFonts w:ascii="Arial" w:eastAsia="Times New Roman" w:hAnsi="Arial" w:cs="Arial"/>
          <w:i/>
          <w:iCs/>
          <w:color w:val="4A4A52"/>
          <w:kern w:val="0"/>
          <w:sz w:val="21"/>
          <w:szCs w:val="21"/>
          <w:lang w:eastAsia="fr-FR"/>
          <w14:ligatures w14:val="none"/>
        </w:rPr>
        <w:t> circonstances atténuant</w:t>
      </w:r>
      <w:proofErr w:type="gramEnd"/>
    </w:p>
    <w:p w14:paraId="64876710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</w:p>
    <w:p w14:paraId="3989B764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En revanche pour l'ordonnateur condamné lui a une amende de 1000 euros</w:t>
      </w:r>
    </w:p>
    <w:p w14:paraId="734D445A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</w:t>
      </w:r>
    </w:p>
    <w:p w14:paraId="76442668" w14:textId="77777777" w:rsidR="00D6568E" w:rsidRPr="00D6568E" w:rsidRDefault="00D6568E" w:rsidP="00D656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M. Z, président de la chambre départementale d’agriculture à partir de 2019,</w:t>
      </w:r>
    </w:p>
    <w:p w14:paraId="2F824B69" w14:textId="77777777" w:rsidR="00D6568E" w:rsidRPr="00D6568E" w:rsidRDefault="00D6568E" w:rsidP="00D6568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a dû faire face à l’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ancienneté des anomalies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comptables</w:t>
      </w:r>
    </w:p>
    <w:p w14:paraId="3493B6B7" w14:textId="77777777" w:rsidR="00D6568E" w:rsidRPr="00D6568E" w:rsidRDefault="00D6568E" w:rsidP="00D6568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et des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dysfonctionnements de ses services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,</w:t>
      </w:r>
    </w:p>
    <w:p w14:paraId="21D54D78" w14:textId="77777777" w:rsidR="00D6568E" w:rsidRPr="00D6568E" w:rsidRDefault="00D6568E" w:rsidP="00D6568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en partie liés aux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graves dysfonctionnements du système d’information financier.</w:t>
      </w:r>
    </w:p>
    <w:p w14:paraId="0F09B6E9" w14:textId="77777777" w:rsidR="00D6568E" w:rsidRPr="00D6568E" w:rsidRDefault="00D6568E" w:rsidP="00D6568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Son mandat a en outre été affecté par la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crise sanitaire</w:t>
      </w:r>
    </w:p>
    <w:p w14:paraId="02BAB29C" w14:textId="77777777" w:rsidR="00D6568E" w:rsidRPr="00D6568E" w:rsidRDefault="00D6568E" w:rsidP="00D6568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et la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réorganisation régionale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en cours du réseau des chambres d’agriculture.</w:t>
      </w:r>
    </w:p>
    <w:p w14:paraId="4F62B35B" w14:textId="77777777" w:rsidR="00D6568E" w:rsidRPr="00D6568E" w:rsidRDefault="00D6568E" w:rsidP="00D6568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I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l a toutefois réagi tardivement aux alertes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qui lui avaient été adressées</w:t>
      </w:r>
    </w:p>
    <w:p w14:paraId="18879C1B" w14:textId="77777777" w:rsidR="00D6568E" w:rsidRPr="00D6568E" w:rsidRDefault="00D6568E" w:rsidP="00D6568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jc w:val="both"/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</w:pP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et a parfois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pris des décisions,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 notamment en matière de ressources humaines, </w:t>
      </w:r>
      <w:r w:rsidRPr="00D6568E">
        <w:rPr>
          <w:rFonts w:ascii="Arial" w:eastAsia="Times New Roman" w:hAnsi="Arial" w:cs="Arial"/>
          <w:b/>
          <w:bCs/>
          <w:color w:val="4A4A52"/>
          <w:kern w:val="0"/>
          <w:sz w:val="21"/>
          <w:szCs w:val="21"/>
          <w:lang w:eastAsia="fr-FR"/>
          <w14:ligatures w14:val="none"/>
        </w:rPr>
        <w:t>inadaptées aux enjeux</w:t>
      </w:r>
      <w:r w:rsidRPr="00D6568E">
        <w:rPr>
          <w:rFonts w:ascii="Arial" w:eastAsia="Times New Roman" w:hAnsi="Arial" w:cs="Arial"/>
          <w:color w:val="4A4A52"/>
          <w:kern w:val="0"/>
          <w:sz w:val="21"/>
          <w:szCs w:val="21"/>
          <w:lang w:eastAsia="fr-FR"/>
          <w14:ligatures w14:val="none"/>
        </w:rPr>
        <w:t>.</w:t>
      </w:r>
    </w:p>
    <w:p w14:paraId="1190516F" w14:textId="77777777" w:rsidR="00BD434F" w:rsidRDefault="00BD434F" w:rsidP="00D6568E">
      <w:pPr>
        <w:jc w:val="both"/>
      </w:pPr>
    </w:p>
    <w:sectPr w:rsidR="00BD4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0AAD"/>
    <w:multiLevelType w:val="multilevel"/>
    <w:tmpl w:val="C5F03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603A8"/>
    <w:multiLevelType w:val="multilevel"/>
    <w:tmpl w:val="DED2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E43E50"/>
    <w:multiLevelType w:val="multilevel"/>
    <w:tmpl w:val="AA6C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C90CEE"/>
    <w:multiLevelType w:val="multilevel"/>
    <w:tmpl w:val="91B66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2938738">
    <w:abstractNumId w:val="0"/>
  </w:num>
  <w:num w:numId="2" w16cid:durableId="1092042482">
    <w:abstractNumId w:val="2"/>
  </w:num>
  <w:num w:numId="3" w16cid:durableId="148979102">
    <w:abstractNumId w:val="3"/>
  </w:num>
  <w:num w:numId="4" w16cid:durableId="1453596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68E"/>
    <w:rsid w:val="00306E20"/>
    <w:rsid w:val="00A92A53"/>
    <w:rsid w:val="00AF7E60"/>
    <w:rsid w:val="00BD434F"/>
    <w:rsid w:val="00D6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B5EF2"/>
  <w15:chartTrackingRefBased/>
  <w15:docId w15:val="{B2B7579B-E180-4211-8788-409EF062A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65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5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5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5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5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5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5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5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5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5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5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5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568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568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568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568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568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568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5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5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5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5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5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568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568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568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5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568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56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727</Words>
  <Characters>4002</Characters>
  <Application>Microsoft Office Word</Application>
  <DocSecurity>0</DocSecurity>
  <Lines>33</Lines>
  <Paragraphs>9</Paragraphs>
  <ScaleCrop>false</ScaleCrop>
  <Company>GRAND PORT MARITIME DE MARSEILLE</Company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2025-12-18T13:38:00Z</dcterms:created>
  <dcterms:modified xsi:type="dcterms:W3CDTF">2025-12-18T13:41:00Z</dcterms:modified>
</cp:coreProperties>
</file>