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F2373" w14:textId="77777777" w:rsidR="005D0A9B" w:rsidRPr="005D0A9B" w:rsidRDefault="005D0A9B">
      <w:pPr>
        <w:rPr>
          <w:b/>
          <w:bCs/>
          <w:color w:val="7030A0"/>
        </w:rPr>
      </w:pPr>
      <w:r w:rsidRPr="005D0A9B">
        <w:rPr>
          <w:b/>
          <w:bCs/>
          <w:color w:val="7030A0"/>
        </w:rPr>
        <w:t xml:space="preserve">INFORMATION DGFIP – AOUT 2026 </w:t>
      </w:r>
    </w:p>
    <w:p w14:paraId="1A720BCC" w14:textId="615D7785" w:rsidR="00BD434F" w:rsidRDefault="005D0A9B">
      <w:pPr>
        <w:rPr>
          <w:b/>
          <w:bCs/>
          <w:color w:val="7030A0"/>
        </w:rPr>
      </w:pPr>
      <w:r w:rsidRPr="005D0A9B">
        <w:rPr>
          <w:b/>
          <w:bCs/>
          <w:color w:val="7030A0"/>
        </w:rPr>
        <w:t>Virements CNAV/CARSAT suite à SATD - Mise en place d'une évolution visant à remplacer les virements groupés par des virements unitaires.</w:t>
      </w:r>
    </w:p>
    <w:tbl>
      <w:tblPr>
        <w:tblW w:w="5000" w:type="pct"/>
        <w:tblCellSpacing w:w="0" w:type="dxa"/>
        <w:shd w:val="clear" w:color="auto" w:fill="484D7A"/>
        <w:tblCellMar>
          <w:left w:w="0" w:type="dxa"/>
          <w:right w:w="0" w:type="dxa"/>
        </w:tblCellMar>
        <w:tblLook w:val="04A0" w:firstRow="1" w:lastRow="0" w:firstColumn="1" w:lastColumn="0" w:noHBand="0" w:noVBand="1"/>
      </w:tblPr>
      <w:tblGrid>
        <w:gridCol w:w="9072"/>
      </w:tblGrid>
      <w:tr w:rsidR="005D0A9B" w14:paraId="01EC38C6" w14:textId="77777777">
        <w:trPr>
          <w:tblCellSpacing w:w="0" w:type="dxa"/>
        </w:trPr>
        <w:tc>
          <w:tcPr>
            <w:tcW w:w="0" w:type="auto"/>
            <w:shd w:val="clear" w:color="auto" w:fill="484D7A"/>
            <w:vAlign w:val="center"/>
          </w:tcPr>
          <w:tbl>
            <w:tblPr>
              <w:tblW w:w="13500" w:type="dxa"/>
              <w:jc w:val="center"/>
              <w:tblCellSpacing w:w="0" w:type="dxa"/>
              <w:tblCellMar>
                <w:left w:w="0" w:type="dxa"/>
                <w:right w:w="0" w:type="dxa"/>
              </w:tblCellMar>
              <w:tblLook w:val="04A0" w:firstRow="1" w:lastRow="0" w:firstColumn="1" w:lastColumn="0" w:noHBand="0" w:noVBand="1"/>
            </w:tblPr>
            <w:tblGrid>
              <w:gridCol w:w="9072"/>
            </w:tblGrid>
            <w:tr w:rsidR="005D0A9B" w14:paraId="13E6CFF9" w14:textId="77777777">
              <w:trPr>
                <w:tblCellSpacing w:w="0" w:type="dxa"/>
                <w:jc w:val="center"/>
              </w:trPr>
              <w:tc>
                <w:tcPr>
                  <w:tcW w:w="0" w:type="auto"/>
                  <w:shd w:val="clear" w:color="auto" w:fill="484D7A"/>
                </w:tcPr>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5D0A9B" w:rsidRPr="005D0A9B" w14:paraId="72E40C61" w14:textId="77777777">
                    <w:trPr>
                      <w:tblCellSpacing w:w="0" w:type="dxa"/>
                      <w:jc w:val="center"/>
                    </w:trPr>
                    <w:tc>
                      <w:tcPr>
                        <w:tcW w:w="0" w:type="auto"/>
                        <w:shd w:val="clear" w:color="auto" w:fill="484D7A"/>
                        <w:tcMar>
                          <w:top w:w="0" w:type="dxa"/>
                          <w:left w:w="0" w:type="dxa"/>
                          <w:bottom w:w="30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5D0A9B" w:rsidRPr="005D0A9B" w14:paraId="29BE7D9A" w14:textId="77777777">
                          <w:trPr>
                            <w:tblCellSpacing w:w="0" w:type="dxa"/>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5D0A9B" w:rsidRPr="005D0A9B" w14:paraId="2F2A5132" w14:textId="77777777">
                                <w:trPr>
                                  <w:tblCellSpacing w:w="0" w:type="dxa"/>
                                  <w:jc w:val="center"/>
                                </w:trPr>
                                <w:tc>
                                  <w:tcPr>
                                    <w:tcW w:w="0" w:type="auto"/>
                                    <w:tcMar>
                                      <w:top w:w="0" w:type="dxa"/>
                                      <w:left w:w="225" w:type="dxa"/>
                                      <w:bottom w:w="0" w:type="dxa"/>
                                      <w:right w:w="225" w:type="dxa"/>
                                    </w:tcMar>
                                    <w:hideMark/>
                                  </w:tcPr>
                                  <w:tbl>
                                    <w:tblPr>
                                      <w:tblW w:w="5000" w:type="pct"/>
                                      <w:tblCellSpacing w:w="0" w:type="dxa"/>
                                      <w:tblCellMar>
                                        <w:left w:w="0" w:type="dxa"/>
                                        <w:right w:w="0" w:type="dxa"/>
                                      </w:tblCellMar>
                                      <w:tblLook w:val="04A0" w:firstRow="1" w:lastRow="0" w:firstColumn="1" w:lastColumn="0" w:noHBand="0" w:noVBand="1"/>
                                    </w:tblPr>
                                    <w:tblGrid>
                                      <w:gridCol w:w="8622"/>
                                    </w:tblGrid>
                                    <w:tr w:rsidR="005D0A9B" w:rsidRPr="005D0A9B" w14:paraId="174B2CEA" w14:textId="77777777">
                                      <w:trPr>
                                        <w:tblCellSpacing w:w="0" w:type="dxa"/>
                                      </w:trPr>
                                      <w:tc>
                                        <w:tcPr>
                                          <w:tcW w:w="0" w:type="auto"/>
                                          <w:vAlign w:val="center"/>
                                          <w:hideMark/>
                                        </w:tcPr>
                                        <w:tbl>
                                          <w:tblPr>
                                            <w:tblW w:w="13050" w:type="dxa"/>
                                            <w:jc w:val="center"/>
                                            <w:tblCellSpacing w:w="0" w:type="dxa"/>
                                            <w:tblCellMar>
                                              <w:left w:w="0" w:type="dxa"/>
                                              <w:right w:w="0" w:type="dxa"/>
                                            </w:tblCellMar>
                                            <w:tblLook w:val="04A0" w:firstRow="1" w:lastRow="0" w:firstColumn="1" w:lastColumn="0" w:noHBand="0" w:noVBand="1"/>
                                          </w:tblPr>
                                          <w:tblGrid>
                                            <w:gridCol w:w="13050"/>
                                          </w:tblGrid>
                                          <w:tr w:rsidR="005D0A9B" w:rsidRPr="005D0A9B" w14:paraId="7620E37F" w14:textId="77777777">
                                            <w:trPr>
                                              <w:trHeight w:val="225"/>
                                              <w:tblCellSpacing w:w="0" w:type="dxa"/>
                                              <w:jc w:val="center"/>
                                            </w:trPr>
                                            <w:tc>
                                              <w:tcPr>
                                                <w:tcW w:w="0" w:type="auto"/>
                                                <w:shd w:val="clear" w:color="auto" w:fill="484D7A"/>
                                                <w:vAlign w:val="center"/>
                                                <w:hideMark/>
                                              </w:tcPr>
                                              <w:p w14:paraId="7E9A078F" w14:textId="77777777" w:rsidR="005D0A9B" w:rsidRPr="005D0A9B" w:rsidRDefault="005D0A9B" w:rsidP="005D0A9B">
                                                <w:pPr>
                                                  <w:spacing w:line="450" w:lineRule="atLeast"/>
                                                  <w:jc w:val="both"/>
                                                  <w:rPr>
                                                    <w:rFonts w:ascii="Marianne" w:hAnsi="Marianne"/>
                                                    <w:color w:val="7030A0"/>
                                                  </w:rPr>
                                                </w:pPr>
                                                <w:r w:rsidRPr="005D0A9B">
                                                  <w:rPr>
                                                    <w:rFonts w:ascii="Marianne" w:hAnsi="Marianne"/>
                                                    <w:color w:val="7030A0"/>
                                                  </w:rPr>
                                                  <w:softHyphen/>
                                                </w:r>
                                              </w:p>
                                            </w:tc>
                                          </w:tr>
                                        </w:tbl>
                                        <w:p w14:paraId="66C4645D" w14:textId="77777777" w:rsidR="005D0A9B" w:rsidRPr="005D0A9B" w:rsidRDefault="005D0A9B" w:rsidP="005D0A9B">
                                          <w:pPr>
                                            <w:jc w:val="both"/>
                                            <w:rPr>
                                              <w:rFonts w:ascii="Marianne" w:hAnsi="Marianne"/>
                                              <w:color w:val="7030A0"/>
                                            </w:rPr>
                                          </w:pPr>
                                        </w:p>
                                      </w:tc>
                                    </w:tr>
                                  </w:tbl>
                                  <w:p w14:paraId="3A06BA6A" w14:textId="77777777" w:rsidR="005D0A9B" w:rsidRPr="005D0A9B" w:rsidRDefault="005D0A9B" w:rsidP="005D0A9B">
                                    <w:pPr>
                                      <w:jc w:val="both"/>
                                      <w:rPr>
                                        <w:rFonts w:ascii="Marianne" w:hAnsi="Marianne"/>
                                        <w:color w:val="7030A0"/>
                                      </w:rPr>
                                    </w:pPr>
                                  </w:p>
                                </w:tc>
                              </w:tr>
                            </w:tbl>
                            <w:p w14:paraId="0579B918" w14:textId="77777777" w:rsidR="005D0A9B" w:rsidRPr="005D0A9B" w:rsidRDefault="005D0A9B" w:rsidP="005D0A9B">
                              <w:pPr>
                                <w:jc w:val="both"/>
                                <w:rPr>
                                  <w:rFonts w:ascii="Marianne" w:hAnsi="Marianne"/>
                                  <w:color w:val="7030A0"/>
                                </w:rPr>
                              </w:pPr>
                            </w:p>
                          </w:tc>
                        </w:tr>
                      </w:tbl>
                      <w:p w14:paraId="0BE5330C" w14:textId="77777777" w:rsidR="005D0A9B" w:rsidRPr="005D0A9B" w:rsidRDefault="005D0A9B" w:rsidP="005D0A9B">
                        <w:pPr>
                          <w:jc w:val="both"/>
                          <w:rPr>
                            <w:rFonts w:ascii="Marianne" w:hAnsi="Marianne"/>
                            <w:color w:val="7030A0"/>
                          </w:rPr>
                        </w:pPr>
                      </w:p>
                    </w:tc>
                  </w:tr>
                </w:tbl>
                <w:p w14:paraId="31BBC7D8" w14:textId="77777777" w:rsidR="005D0A9B" w:rsidRPr="005D0A9B" w:rsidRDefault="005D0A9B" w:rsidP="005D0A9B">
                  <w:pPr>
                    <w:jc w:val="both"/>
                    <w:rPr>
                      <w:rFonts w:ascii="Marianne" w:hAnsi="Marianne"/>
                      <w:color w:val="7030A0"/>
                    </w:rPr>
                  </w:pPr>
                </w:p>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5D0A9B" w:rsidRPr="005D0A9B" w14:paraId="2E03A6E8" w14:textId="77777777">
                    <w:trPr>
                      <w:tblCellSpacing w:w="0" w:type="dxa"/>
                      <w:jc w:val="center"/>
                    </w:trPr>
                    <w:tc>
                      <w:tcPr>
                        <w:tcW w:w="0" w:type="auto"/>
                        <w:shd w:val="clear" w:color="auto" w:fill="FFFFFF"/>
                        <w:tcMar>
                          <w:top w:w="300" w:type="dxa"/>
                          <w:left w:w="300" w:type="dxa"/>
                          <w:bottom w:w="0" w:type="dxa"/>
                          <w:right w:w="30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472"/>
                        </w:tblGrid>
                        <w:tr w:rsidR="005D0A9B" w:rsidRPr="005D0A9B" w14:paraId="58CB7E53" w14:textId="77777777">
                          <w:trPr>
                            <w:tblCellSpacing w:w="0" w:type="dxa"/>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8472"/>
                              </w:tblGrid>
                              <w:tr w:rsidR="005D0A9B" w:rsidRPr="005D0A9B" w14:paraId="473ECF22" w14:textId="77777777">
                                <w:trPr>
                                  <w:tblCellSpacing w:w="0" w:type="dxa"/>
                                  <w:jc w:val="center"/>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472"/>
                                    </w:tblGrid>
                                    <w:tr w:rsidR="005D0A9B" w:rsidRPr="005D0A9B" w14:paraId="187EC834" w14:textId="77777777">
                                      <w:trPr>
                                        <w:tblCellSpacing w:w="0" w:type="dxa"/>
                                      </w:trPr>
                                      <w:tc>
                                        <w:tcPr>
                                          <w:tcW w:w="0" w:type="auto"/>
                                          <w:vAlign w:val="center"/>
                                          <w:hideMark/>
                                        </w:tcPr>
                                        <w:tbl>
                                          <w:tblPr>
                                            <w:tblW w:w="12075" w:type="dxa"/>
                                            <w:tblCellSpacing w:w="0" w:type="dxa"/>
                                            <w:tblCellMar>
                                              <w:left w:w="0" w:type="dxa"/>
                                              <w:right w:w="0" w:type="dxa"/>
                                            </w:tblCellMar>
                                            <w:tblLook w:val="04A0" w:firstRow="1" w:lastRow="0" w:firstColumn="1" w:lastColumn="0" w:noHBand="0" w:noVBand="1"/>
                                          </w:tblPr>
                                          <w:tblGrid>
                                            <w:gridCol w:w="12075"/>
                                          </w:tblGrid>
                                          <w:tr w:rsidR="005D0A9B" w:rsidRPr="005D0A9B" w14:paraId="5869BCC9" w14:textId="77777777">
                                            <w:trPr>
                                              <w:tblCellSpacing w:w="0" w:type="dxa"/>
                                            </w:trPr>
                                            <w:tc>
                                              <w:tcPr>
                                                <w:tcW w:w="0" w:type="auto"/>
                                                <w:hideMark/>
                                              </w:tcPr>
                                              <w:p w14:paraId="0BEE84CF" w14:textId="77777777" w:rsidR="005D0A9B" w:rsidRPr="005D0A9B" w:rsidRDefault="005D0A9B" w:rsidP="005D0A9B">
                                                <w:pPr>
                                                  <w:pStyle w:val="Titre1"/>
                                                  <w:jc w:val="both"/>
                                                  <w:rPr>
                                                    <w:rFonts w:ascii="Marianne" w:eastAsia="Times New Roman" w:hAnsi="Marianne"/>
                                                    <w:b/>
                                                    <w:bCs/>
                                                    <w:smallCaps/>
                                                    <w:color w:val="7030A0"/>
                                                    <w:spacing w:val="24"/>
                                                    <w:sz w:val="20"/>
                                                    <w:szCs w:val="20"/>
                                                  </w:rPr>
                                                </w:pPr>
                                                <w:r w:rsidRPr="005D0A9B">
                                                  <w:rPr>
                                                    <w:rFonts w:ascii="Marianne" w:eastAsia="Times New Roman" w:hAnsi="Marianne"/>
                                                    <w:b/>
                                                    <w:bCs/>
                                                    <w:smallCaps/>
                                                    <w:color w:val="7030A0"/>
                                                    <w:spacing w:val="24"/>
                                                    <w:sz w:val="20"/>
                                                    <w:szCs w:val="20"/>
                                                  </w:rPr>
                                                  <w:t xml:space="preserve">Virements CNAV/CARSAT suite à SATD - Mise en place d'une évolution visant à remplacer les virements groupés par des virements unitaires </w:t>
                                                </w:r>
                                              </w:p>
                                            </w:tc>
                                          </w:tr>
                                        </w:tbl>
                                        <w:p w14:paraId="6B7C3EB6" w14:textId="77777777" w:rsidR="005D0A9B" w:rsidRPr="005D0A9B" w:rsidRDefault="005D0A9B" w:rsidP="005D0A9B">
                                          <w:pPr>
                                            <w:jc w:val="both"/>
                                            <w:rPr>
                                              <w:rFonts w:ascii="Marianne" w:eastAsia="Times New Roman" w:hAnsi="Marianne" w:cstheme="majorBidi"/>
                                              <w:b/>
                                              <w:bCs/>
                                              <w:smallCaps/>
                                              <w:color w:val="7030A0"/>
                                              <w:spacing w:val="24"/>
                                              <w:sz w:val="20"/>
                                              <w:szCs w:val="20"/>
                                            </w:rPr>
                                          </w:pPr>
                                        </w:p>
                                      </w:tc>
                                    </w:tr>
                                    <w:tr w:rsidR="005D0A9B" w:rsidRPr="005D0A9B" w14:paraId="0CBB151E" w14:textId="77777777">
                                      <w:trPr>
                                        <w:tblCellSpacing w:w="0" w:type="dxa"/>
                                      </w:trPr>
                                      <w:tc>
                                        <w:tcPr>
                                          <w:tcW w:w="0" w:type="auto"/>
                                          <w:vAlign w:val="center"/>
                                          <w:hideMark/>
                                        </w:tcPr>
                                        <w:tbl>
                                          <w:tblPr>
                                            <w:tblW w:w="12900" w:type="dxa"/>
                                            <w:jc w:val="center"/>
                                            <w:tblCellSpacing w:w="0" w:type="dxa"/>
                                            <w:tblCellMar>
                                              <w:left w:w="0" w:type="dxa"/>
                                              <w:right w:w="0" w:type="dxa"/>
                                            </w:tblCellMar>
                                            <w:tblLook w:val="04A0" w:firstRow="1" w:lastRow="0" w:firstColumn="1" w:lastColumn="0" w:noHBand="0" w:noVBand="1"/>
                                          </w:tblPr>
                                          <w:tblGrid>
                                            <w:gridCol w:w="12900"/>
                                          </w:tblGrid>
                                          <w:tr w:rsidR="005D0A9B" w:rsidRPr="005D0A9B" w14:paraId="235C53C3" w14:textId="77777777">
                                            <w:trPr>
                                              <w:trHeight w:val="15"/>
                                              <w:tblCellSpacing w:w="0" w:type="dxa"/>
                                              <w:jc w:val="center"/>
                                            </w:trPr>
                                            <w:tc>
                                              <w:tcPr>
                                                <w:tcW w:w="0" w:type="auto"/>
                                                <w:tcMar>
                                                  <w:top w:w="225" w:type="dxa"/>
                                                  <w:left w:w="0" w:type="dxa"/>
                                                  <w:bottom w:w="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2900"/>
                                                </w:tblGrid>
                                                <w:tr w:rsidR="005D0A9B" w:rsidRPr="005D0A9B" w14:paraId="1ABFD65A" w14:textId="77777777">
                                                  <w:trPr>
                                                    <w:tblCellSpacing w:w="0" w:type="dxa"/>
                                                  </w:trPr>
                                                  <w:tc>
                                                    <w:tcPr>
                                                      <w:tcW w:w="0" w:type="auto"/>
                                                      <w:vAlign w:val="center"/>
                                                      <w:hideMark/>
                                                    </w:tcPr>
                                                    <w:tbl>
                                                      <w:tblPr>
                                                        <w:tblW w:w="5000" w:type="pct"/>
                                                        <w:tblCellSpacing w:w="0" w:type="dxa"/>
                                                        <w:tblBorders>
                                                          <w:top w:val="single" w:sz="6" w:space="0" w:color="181C20"/>
                                                        </w:tblBorders>
                                                        <w:tblCellMar>
                                                          <w:left w:w="0" w:type="dxa"/>
                                                          <w:right w:w="0" w:type="dxa"/>
                                                        </w:tblCellMar>
                                                        <w:tblLook w:val="04A0" w:firstRow="1" w:lastRow="0" w:firstColumn="1" w:lastColumn="0" w:noHBand="0" w:noVBand="1"/>
                                                      </w:tblPr>
                                                      <w:tblGrid>
                                                        <w:gridCol w:w="12900"/>
                                                      </w:tblGrid>
                                                      <w:tr w:rsidR="005D0A9B" w:rsidRPr="005D0A9B" w14:paraId="0848C346" w14:textId="77777777">
                                                        <w:trPr>
                                                          <w:tblCellSpacing w:w="0" w:type="dxa"/>
                                                        </w:trPr>
                                                        <w:tc>
                                                          <w:tcPr>
                                                            <w:tcW w:w="0" w:type="auto"/>
                                                            <w:tcBorders>
                                                              <w:top w:val="nil"/>
                                                              <w:left w:val="nil"/>
                                                              <w:bottom w:val="nil"/>
                                                              <w:right w:val="nil"/>
                                                            </w:tcBorders>
                                                            <w:vAlign w:val="center"/>
                                                            <w:hideMark/>
                                                          </w:tcPr>
                                                          <w:p w14:paraId="52D31E93" w14:textId="77777777" w:rsidR="005D0A9B" w:rsidRPr="005D0A9B" w:rsidRDefault="005D0A9B" w:rsidP="005D0A9B">
                                                            <w:pPr>
                                                              <w:spacing w:line="0" w:lineRule="atLeast"/>
                                                              <w:jc w:val="both"/>
                                                              <w:rPr>
                                                                <w:rFonts w:ascii="Marianne" w:eastAsia="Times New Roman" w:hAnsi="Marianne" w:cstheme="majorBidi"/>
                                                                <w:b/>
                                                                <w:bCs/>
                                                                <w:smallCaps/>
                                                                <w:color w:val="7030A0"/>
                                                                <w:spacing w:val="24"/>
                                                                <w:sz w:val="20"/>
                                                                <w:szCs w:val="20"/>
                                                              </w:rPr>
                                                            </w:pPr>
                                                            <w:r w:rsidRPr="005D0A9B">
                                                              <w:rPr>
                                                                <w:rFonts w:ascii="Marianne" w:eastAsia="Times New Roman" w:hAnsi="Marianne" w:cstheme="majorBidi"/>
                                                                <w:b/>
                                                                <w:bCs/>
                                                                <w:smallCaps/>
                                                                <w:color w:val="7030A0"/>
                                                                <w:spacing w:val="24"/>
                                                                <w:sz w:val="20"/>
                                                                <w:szCs w:val="20"/>
                                                              </w:rPr>
                                                              <w:softHyphen/>
                                                            </w:r>
                                                          </w:p>
                                                        </w:tc>
                                                      </w:tr>
                                                    </w:tbl>
                                                    <w:p w14:paraId="6A780E0C" w14:textId="77777777" w:rsidR="005D0A9B" w:rsidRPr="005D0A9B" w:rsidRDefault="005D0A9B" w:rsidP="005D0A9B">
                                                      <w:pPr>
                                                        <w:jc w:val="both"/>
                                                        <w:rPr>
                                                          <w:rFonts w:ascii="Marianne" w:eastAsia="Times New Roman" w:hAnsi="Marianne" w:cstheme="majorBidi"/>
                                                          <w:b/>
                                                          <w:bCs/>
                                                          <w:smallCaps/>
                                                          <w:color w:val="7030A0"/>
                                                          <w:spacing w:val="24"/>
                                                          <w:sz w:val="20"/>
                                                          <w:szCs w:val="20"/>
                                                        </w:rPr>
                                                      </w:pPr>
                                                    </w:p>
                                                  </w:tc>
                                                </w:tr>
                                              </w:tbl>
                                              <w:p w14:paraId="4C8EF510" w14:textId="77777777" w:rsidR="005D0A9B" w:rsidRPr="005D0A9B" w:rsidRDefault="005D0A9B" w:rsidP="005D0A9B">
                                                <w:pPr>
                                                  <w:jc w:val="both"/>
                                                  <w:rPr>
                                                    <w:rFonts w:ascii="Marianne" w:eastAsia="Times New Roman" w:hAnsi="Marianne" w:cstheme="majorBidi"/>
                                                    <w:b/>
                                                    <w:bCs/>
                                                    <w:smallCaps/>
                                                    <w:color w:val="7030A0"/>
                                                    <w:spacing w:val="24"/>
                                                    <w:sz w:val="20"/>
                                                    <w:szCs w:val="20"/>
                                                  </w:rPr>
                                                </w:pPr>
                                              </w:p>
                                            </w:tc>
                                          </w:tr>
                                        </w:tbl>
                                        <w:p w14:paraId="2806175D" w14:textId="77777777" w:rsidR="005D0A9B" w:rsidRPr="005D0A9B" w:rsidRDefault="005D0A9B" w:rsidP="005D0A9B">
                                          <w:pPr>
                                            <w:jc w:val="both"/>
                                            <w:rPr>
                                              <w:rFonts w:ascii="Marianne" w:eastAsia="Times New Roman" w:hAnsi="Marianne" w:cstheme="majorBidi"/>
                                              <w:b/>
                                              <w:bCs/>
                                              <w:smallCaps/>
                                              <w:color w:val="7030A0"/>
                                              <w:spacing w:val="24"/>
                                              <w:sz w:val="20"/>
                                              <w:szCs w:val="20"/>
                                            </w:rPr>
                                          </w:pPr>
                                        </w:p>
                                      </w:tc>
                                    </w:tr>
                                  </w:tbl>
                                  <w:p w14:paraId="0025DA92" w14:textId="77777777" w:rsidR="005D0A9B" w:rsidRPr="005D0A9B" w:rsidRDefault="005D0A9B" w:rsidP="005D0A9B">
                                    <w:pPr>
                                      <w:jc w:val="both"/>
                                      <w:rPr>
                                        <w:rFonts w:ascii="Marianne" w:eastAsia="Times New Roman" w:hAnsi="Marianne" w:cstheme="majorBidi"/>
                                        <w:b/>
                                        <w:bCs/>
                                        <w:smallCaps/>
                                        <w:color w:val="7030A0"/>
                                        <w:spacing w:val="24"/>
                                        <w:sz w:val="20"/>
                                        <w:szCs w:val="20"/>
                                      </w:rPr>
                                    </w:pPr>
                                  </w:p>
                                </w:tc>
                              </w:tr>
                            </w:tbl>
                            <w:p w14:paraId="4F9D18C1" w14:textId="77777777" w:rsidR="005D0A9B" w:rsidRPr="005D0A9B" w:rsidRDefault="005D0A9B" w:rsidP="005D0A9B">
                              <w:pPr>
                                <w:jc w:val="both"/>
                                <w:rPr>
                                  <w:rFonts w:ascii="Marianne" w:eastAsia="Times New Roman" w:hAnsi="Marianne" w:cstheme="majorBidi"/>
                                  <w:b/>
                                  <w:bCs/>
                                  <w:smallCaps/>
                                  <w:color w:val="7030A0"/>
                                  <w:spacing w:val="24"/>
                                  <w:sz w:val="20"/>
                                  <w:szCs w:val="20"/>
                                </w:rPr>
                              </w:pPr>
                            </w:p>
                          </w:tc>
                        </w:tr>
                      </w:tbl>
                      <w:p w14:paraId="11BA2AAB" w14:textId="77777777" w:rsidR="005D0A9B" w:rsidRPr="005D0A9B" w:rsidRDefault="005D0A9B" w:rsidP="005D0A9B">
                        <w:pPr>
                          <w:jc w:val="both"/>
                          <w:rPr>
                            <w:rFonts w:ascii="Marianne" w:hAnsi="Marianne"/>
                            <w:color w:val="7030A0"/>
                          </w:rPr>
                        </w:pPr>
                      </w:p>
                    </w:tc>
                  </w:tr>
                </w:tbl>
                <w:p w14:paraId="5D26E261" w14:textId="77777777" w:rsidR="005D0A9B" w:rsidRPr="005D0A9B" w:rsidRDefault="005D0A9B" w:rsidP="005D0A9B">
                  <w:pPr>
                    <w:jc w:val="both"/>
                    <w:rPr>
                      <w:rFonts w:ascii="Marianne" w:hAnsi="Marianne"/>
                      <w:color w:val="7030A0"/>
                    </w:rPr>
                  </w:pPr>
                </w:p>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5D0A9B" w:rsidRPr="005D0A9B" w14:paraId="3287C004" w14:textId="77777777">
                    <w:trPr>
                      <w:tblCellSpacing w:w="0" w:type="dxa"/>
                      <w:jc w:val="center"/>
                    </w:trPr>
                    <w:tc>
                      <w:tcPr>
                        <w:tcW w:w="0" w:type="auto"/>
                        <w:shd w:val="clear" w:color="auto" w:fill="FFFFFF"/>
                        <w:tcMar>
                          <w:top w:w="375" w:type="dxa"/>
                          <w:left w:w="300" w:type="dxa"/>
                          <w:bottom w:w="0" w:type="dxa"/>
                          <w:right w:w="30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472"/>
                        </w:tblGrid>
                        <w:tr w:rsidR="005D0A9B" w:rsidRPr="005D0A9B" w14:paraId="57AA6DD9" w14:textId="77777777">
                          <w:trPr>
                            <w:tblCellSpacing w:w="0" w:type="dxa"/>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8472"/>
                              </w:tblGrid>
                              <w:tr w:rsidR="005D0A9B" w:rsidRPr="005D0A9B" w14:paraId="70E3E14E" w14:textId="77777777">
                                <w:trPr>
                                  <w:tblCellSpacing w:w="0" w:type="dxa"/>
                                  <w:jc w:val="center"/>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472"/>
                                    </w:tblGrid>
                                    <w:tr w:rsidR="005D0A9B" w:rsidRPr="005D0A9B" w14:paraId="1594E128" w14:textId="77777777">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472"/>
                                          </w:tblGrid>
                                          <w:tr w:rsidR="005D0A9B" w:rsidRPr="005D0A9B" w14:paraId="3C40F856" w14:textId="77777777">
                                            <w:trPr>
                                              <w:tblCellSpacing w:w="0" w:type="dxa"/>
                                            </w:trPr>
                                            <w:tc>
                                              <w:tcPr>
                                                <w:tcW w:w="0" w:type="auto"/>
                                              </w:tcPr>
                                              <w:p w14:paraId="1D91F716" w14:textId="77777777" w:rsidR="005D0A9B" w:rsidRDefault="005D0A9B" w:rsidP="005D0A9B">
                                                <w:pPr>
                                                  <w:jc w:val="both"/>
                                                  <w:rPr>
                                                    <w:rFonts w:ascii="Marianne" w:hAnsi="Marianne"/>
                                                    <w:color w:val="7030A0"/>
                                                  </w:rPr>
                                                </w:pPr>
                                                <w:r w:rsidRPr="005D0A9B">
                                                  <w:rPr>
                                                    <w:rFonts w:ascii="Marianne" w:hAnsi="Marianne"/>
                                                    <w:color w:val="7030A0"/>
                                                  </w:rPr>
                                                  <w:t>Au titre de leurs missions de recouvrement, les agents comptables des organismes publics nationaux (OPN), peuvent diligenter des saisies administratives à tiers détenteurs (SATD) auprès de la CNAV ou des</w:t>
                                                </w:r>
                                                <w:r>
                                                  <w:rPr>
                                                    <w:rFonts w:ascii="Marianne" w:hAnsi="Marianne"/>
                                                    <w:color w:val="7030A0"/>
                                                  </w:rPr>
                                                  <w:t xml:space="preserve"> </w:t>
                                                </w:r>
                                                <w:r w:rsidRPr="005D0A9B">
                                                  <w:rPr>
                                                    <w:rFonts w:ascii="Marianne" w:hAnsi="Marianne"/>
                                                    <w:color w:val="7030A0"/>
                                                  </w:rPr>
                                                  <w:t xml:space="preserve">CARSAT. </w:t>
                                                </w:r>
                                              </w:p>
                                              <w:p w14:paraId="753455D8" w14:textId="078BE9B8" w:rsidR="005D0A9B" w:rsidRPr="005D0A9B" w:rsidRDefault="005D0A9B" w:rsidP="005D0A9B">
                                                <w:pPr>
                                                  <w:jc w:val="both"/>
                                                  <w:rPr>
                                                    <w:rFonts w:ascii="Marianne" w:hAnsi="Marianne"/>
                                                    <w:color w:val="7030A0"/>
                                                  </w:rPr>
                                                </w:pPr>
                                                <w:r w:rsidRPr="005D0A9B">
                                                  <w:rPr>
                                                    <w:rFonts w:ascii="Marianne" w:hAnsi="Marianne"/>
                                                    <w:color w:val="7030A0"/>
                                                  </w:rPr>
                                                  <w:t>En exécution de SATD positives, les organismes de retraite émettaient des virements groupés récapitulant le montant global des sommes recouvrées à destination des agents comptables</w:t>
                                                </w:r>
                                                <w:r>
                                                  <w:rPr>
                                                    <w:rFonts w:ascii="Marianne" w:hAnsi="Marianne"/>
                                                    <w:color w:val="7030A0"/>
                                                  </w:rPr>
                                                  <w:t xml:space="preserve"> </w:t>
                                                </w:r>
                                                <w:r w:rsidRPr="005D0A9B">
                                                  <w:rPr>
                                                    <w:rFonts w:ascii="Marianne" w:hAnsi="Marianne"/>
                                                    <w:color w:val="7030A0"/>
                                                  </w:rPr>
                                                  <w:t xml:space="preserve">saisissants. En complément, ils leurs adressaient un bordereau leur détaillant l'imputation des virements sur les titres de recettes ayant fait l'objet des SATD positives.  </w:t>
                                                </w:r>
                                              </w:p>
                                              <w:p w14:paraId="27697DE6" w14:textId="77777777" w:rsidR="005D0A9B" w:rsidRPr="005D0A9B" w:rsidRDefault="005D0A9B" w:rsidP="005D0A9B">
                                                <w:pPr>
                                                  <w:numPr>
                                                    <w:ilvl w:val="0"/>
                                                    <w:numId w:val="1"/>
                                                  </w:numPr>
                                                  <w:spacing w:before="100" w:beforeAutospacing="1" w:after="100" w:afterAutospacing="1" w:line="240" w:lineRule="auto"/>
                                                  <w:jc w:val="both"/>
                                                  <w:rPr>
                                                    <w:rFonts w:ascii="Marianne" w:hAnsi="Marianne"/>
                                                    <w:b/>
                                                    <w:bCs/>
                                                    <w:color w:val="7030A0"/>
                                                  </w:rPr>
                                                </w:pPr>
                                                <w:r w:rsidRPr="005D0A9B">
                                                  <w:rPr>
                                                    <w:rFonts w:ascii="Marianne" w:hAnsi="Marianne"/>
                                                    <w:b/>
                                                    <w:bCs/>
                                                    <w:color w:val="7030A0"/>
                                                  </w:rPr>
                                                  <w:t>Nouvelles modalités d'émission de virements de la CNAV et la CRASAT à destination des agents comptables saisissants</w:t>
                                                </w:r>
                                              </w:p>
                                              <w:p w14:paraId="3F62095B" w14:textId="308FB80A" w:rsidR="005D0A9B" w:rsidRDefault="005D0A9B" w:rsidP="005D0A9B">
                                                <w:pPr>
                                                  <w:spacing w:before="100" w:beforeAutospacing="1" w:after="100" w:afterAutospacing="1" w:line="240" w:lineRule="auto"/>
                                                  <w:jc w:val="both"/>
                                                  <w:rPr>
                                                    <w:rFonts w:ascii="Marianne" w:hAnsi="Marianne"/>
                                                    <w:color w:val="7030A0"/>
                                                  </w:rPr>
                                                </w:pPr>
                                                <w:r w:rsidRPr="005D0A9B">
                                                  <w:rPr>
                                                    <w:rFonts w:ascii="Marianne" w:hAnsi="Marianne"/>
                                                    <w:color w:val="7030A0"/>
                                                  </w:rPr>
                                                  <w:t>Depuis le 1er juillet 2026, les CARSAT et la CNAV émettent des virements unitaires venant en substitution des virements globaux évoqués</w:t>
                                                </w:r>
                                                <w:r>
                                                  <w:rPr>
                                                    <w:rFonts w:ascii="Marianne" w:hAnsi="Marianne"/>
                                                    <w:color w:val="7030A0"/>
                                                  </w:rPr>
                                                  <w:t xml:space="preserve">. </w:t>
                                                </w:r>
                                                <w:r w:rsidRPr="005D0A9B">
                                                  <w:rPr>
                                                    <w:rFonts w:ascii="Marianne" w:hAnsi="Marianne"/>
                                                    <w:color w:val="7030A0"/>
                                                  </w:rPr>
                                                  <w:t xml:space="preserve">Pour la bonne mise en </w:t>
                                                </w:r>
                                                <w:r w:rsidRPr="005D0A9B">
                                                  <w:rPr>
                                                    <w:rFonts w:ascii="Marianne" w:hAnsi="Marianne"/>
                                                    <w:color w:val="7030A0"/>
                                                  </w:rPr>
                                                  <w:t>œuvre</w:t>
                                                </w:r>
                                                <w:r w:rsidRPr="005D0A9B">
                                                  <w:rPr>
                                                    <w:rFonts w:ascii="Marianne" w:hAnsi="Marianne"/>
                                                    <w:color w:val="7030A0"/>
                                                  </w:rPr>
                                                  <w:t xml:space="preserve"> de ce dispositif,  la direction générale des finances publiques et  la CNAV / CARSAT préconisent aux agents comptables de compléter ce numéro de la SATD au sein du bloc dénommé "références à rappeler"  figurant sur l'avis à tiers détenteur (cf</w:t>
                                                </w:r>
                                                <w:r>
                                                  <w:rPr>
                                                    <w:rFonts w:ascii="Marianne" w:hAnsi="Marianne"/>
                                                    <w:color w:val="7030A0"/>
                                                  </w:rPr>
                                                  <w:t>.</w:t>
                                                </w:r>
                                                <w:r w:rsidRPr="005D0A9B">
                                                  <w:rPr>
                                                    <w:rFonts w:ascii="Marianne" w:hAnsi="Marianne"/>
                                                    <w:color w:val="7030A0"/>
                                                  </w:rPr>
                                                  <w:t xml:space="preserve"> </w:t>
                                                </w:r>
                                                <w:hyperlink r:id="rId7" w:history="1">
                                                  <w:r w:rsidRPr="005D0A9B">
                                                    <w:rPr>
                                                      <w:rFonts w:ascii="Marianne" w:hAnsi="Marianne"/>
                                                      <w:b/>
                                                      <w:bCs/>
                                                      <w:color w:val="7030A0"/>
                                                    </w:rPr>
                                                    <w:t>annexe 12 de l'instruction juridique commune</w:t>
                                                  </w:r>
                                                </w:hyperlink>
                                                <w:r w:rsidRPr="005D0A9B">
                                                  <w:rPr>
                                                    <w:rFonts w:ascii="Marianne" w:hAnsi="Marianne"/>
                                                    <w:color w:val="7030A0"/>
                                                  </w:rPr>
                                                  <w:t>)</w:t>
                                                </w:r>
                                                <w:r>
                                                  <w:rPr>
                                                    <w:rFonts w:ascii="Marianne" w:hAnsi="Marianne"/>
                                                    <w:color w:val="7030A0"/>
                                                  </w:rPr>
                                                  <w:t>.</w:t>
                                                </w:r>
                                              </w:p>
                                              <w:p w14:paraId="47F517AF" w14:textId="14943033" w:rsidR="005D0A9B" w:rsidRPr="005D0A9B" w:rsidRDefault="005D0A9B" w:rsidP="005D0A9B">
                                                <w:pPr>
                                                  <w:spacing w:before="100" w:beforeAutospacing="1" w:after="100" w:afterAutospacing="1" w:line="240" w:lineRule="auto"/>
                                                  <w:jc w:val="both"/>
                                                  <w:rPr>
                                                    <w:rFonts w:ascii="Marianne" w:hAnsi="Marianne"/>
                                                    <w:color w:val="7030A0"/>
                                                  </w:rPr>
                                                </w:pPr>
                                                <w:r w:rsidRPr="005D0A9B">
                                                  <w:rPr>
                                                    <w:rFonts w:ascii="Marianne" w:hAnsi="Marianne"/>
                                                    <w:color w:val="7030A0"/>
                                                  </w:rPr>
                                                  <w:t xml:space="preserve">A cet effet, ils devront compléter un tel numéro en respectant l'un des 3 formats type suivants : </w:t>
                                                </w:r>
                                              </w:p>
                                              <w:p w14:paraId="209A66EC" w14:textId="35CFA536" w:rsidR="005D0A9B" w:rsidRPr="005D0A9B" w:rsidRDefault="005D0A9B" w:rsidP="005D0A9B">
                                                <w:pPr>
                                                  <w:numPr>
                                                    <w:ilvl w:val="0"/>
                                                    <w:numId w:val="2"/>
                                                  </w:numPr>
                                                  <w:spacing w:before="100" w:beforeAutospacing="1" w:after="100" w:afterAutospacing="1" w:line="240" w:lineRule="auto"/>
                                                  <w:jc w:val="both"/>
                                                  <w:rPr>
                                                    <w:rFonts w:ascii="Marianne" w:hAnsi="Marianne"/>
                                                    <w:color w:val="7030A0"/>
                                                  </w:rPr>
                                                </w:pPr>
                                                <w:r w:rsidRPr="005D0A9B">
                                                  <w:rPr>
                                                    <w:rFonts w:ascii="Marianne" w:hAnsi="Marianne"/>
                                                    <w:color w:val="7030A0"/>
                                                  </w:rPr>
                                                  <w:t xml:space="preserve"> 12 chiffres espace 9 chiffres </w:t>
                                                </w:r>
                                                <w:proofErr w:type="gramStart"/>
                                                <w:r w:rsidRPr="005D0A9B">
                                                  <w:rPr>
                                                    <w:rFonts w:ascii="Marianne" w:hAnsi="Marianne"/>
                                                    <w:color w:val="7030A0"/>
                                                  </w:rPr>
                                                  <w:t>( Numéro</w:t>
                                                </w:r>
                                                <w:proofErr w:type="gramEnd"/>
                                                <w:r w:rsidRPr="005D0A9B">
                                                  <w:rPr>
                                                    <w:rFonts w:ascii="Marianne" w:hAnsi="Marianne"/>
                                                    <w:color w:val="7030A0"/>
                                                  </w:rPr>
                                                  <w:t xml:space="preserve"> d'action + espace + Numéro de </w:t>
                                                </w:r>
                                                <w:proofErr w:type="spellStart"/>
                                                <w:r w:rsidRPr="005D0A9B">
                                                  <w:rPr>
                                                    <w:rFonts w:ascii="Marianne" w:hAnsi="Marianne"/>
                                                    <w:color w:val="7030A0"/>
                                                  </w:rPr>
                                                  <w:t>siren</w:t>
                                                </w:r>
                                                <w:proofErr w:type="spellEnd"/>
                                                <w:r w:rsidRPr="005D0A9B">
                                                  <w:rPr>
                                                    <w:rFonts w:ascii="Marianne" w:hAnsi="Marianne"/>
                                                    <w:color w:val="7030A0"/>
                                                  </w:rPr>
                                                  <w:t xml:space="preserve"> de l'établissement)</w:t>
                                                </w:r>
                                              </w:p>
                                              <w:p w14:paraId="5E6B371C" w14:textId="0234C0AE" w:rsidR="005D0A9B" w:rsidRPr="005D0A9B" w:rsidRDefault="005D0A9B" w:rsidP="005D0A9B">
                                                <w:pPr>
                                                  <w:numPr>
                                                    <w:ilvl w:val="0"/>
                                                    <w:numId w:val="3"/>
                                                  </w:numPr>
                                                  <w:spacing w:before="100" w:beforeAutospacing="1" w:after="100" w:afterAutospacing="1" w:line="240" w:lineRule="auto"/>
                                                  <w:jc w:val="both"/>
                                                  <w:rPr>
                                                    <w:rFonts w:ascii="Marianne" w:hAnsi="Marianne"/>
                                                    <w:color w:val="7030A0"/>
                                                  </w:rPr>
                                                </w:pPr>
                                                <w:r w:rsidRPr="005D0A9B">
                                                  <w:rPr>
                                                    <w:rFonts w:ascii="Marianne" w:hAnsi="Marianne"/>
                                                    <w:color w:val="7030A0"/>
                                                  </w:rPr>
                                                  <w:lastRenderedPageBreak/>
                                                  <w:t>12 chiffres espace 13 chiffres (Num</w:t>
                                                </w:r>
                                                <w:r>
                                                  <w:rPr>
                                                    <w:rFonts w:ascii="Marianne" w:hAnsi="Marianne"/>
                                                    <w:color w:val="7030A0"/>
                                                  </w:rPr>
                                                  <w:t>é</w:t>
                                                </w:r>
                                                <w:r w:rsidRPr="005D0A9B">
                                                  <w:rPr>
                                                    <w:rFonts w:ascii="Marianne" w:hAnsi="Marianne"/>
                                                    <w:color w:val="7030A0"/>
                                                  </w:rPr>
                                                  <w:t>ro d'action + espace + Numéro SPI du redevable)</w:t>
                                                </w:r>
                                              </w:p>
                                              <w:p w14:paraId="522E2309" w14:textId="3CD0875D" w:rsidR="005D0A9B" w:rsidRPr="005D0A9B" w:rsidRDefault="005D0A9B" w:rsidP="005D0A9B">
                                                <w:pPr>
                                                  <w:numPr>
                                                    <w:ilvl w:val="0"/>
                                                    <w:numId w:val="4"/>
                                                  </w:numPr>
                                                  <w:spacing w:before="100" w:beforeAutospacing="1" w:after="100" w:afterAutospacing="1" w:line="240" w:lineRule="auto"/>
                                                  <w:jc w:val="both"/>
                                                  <w:rPr>
                                                    <w:rFonts w:ascii="Marianne" w:hAnsi="Marianne"/>
                                                    <w:color w:val="7030A0"/>
                                                  </w:rPr>
                                                </w:pPr>
                                                <w:r w:rsidRPr="005D0A9B">
                                                  <w:rPr>
                                                    <w:rFonts w:ascii="Marianne" w:hAnsi="Marianne"/>
                                                    <w:color w:val="7030A0"/>
                                                  </w:rPr>
                                                  <w:t>13 chiffres espace 2 chiffres espace 5 chiffres (identifiant + numéro de SATD)</w:t>
                                                </w:r>
                                              </w:p>
                                              <w:p w14:paraId="090E6E5A" w14:textId="77777777" w:rsidR="005D0A9B" w:rsidRDefault="005D0A9B" w:rsidP="005D0A9B">
                                                <w:pPr>
                                                  <w:spacing w:after="300"/>
                                                  <w:jc w:val="both"/>
                                                  <w:rPr>
                                                    <w:rFonts w:ascii="Marianne" w:hAnsi="Marianne"/>
                                                    <w:color w:val="7030A0"/>
                                                  </w:rPr>
                                                </w:pPr>
                                                <w:r w:rsidRPr="005D0A9B">
                                                  <w:rPr>
                                                    <w:rFonts w:ascii="Marianne" w:hAnsi="Marianne"/>
                                                    <w:color w:val="7030A0"/>
                                                  </w:rPr>
                                                  <w:t xml:space="preserve">Après traitement de la SATD positives, les organismes émettent des virements individuels dont le libelle mentionne l'identité du débiteur concerné ainsi que le numéro de la SATD évoqués. </w:t>
                                                </w:r>
                                              </w:p>
                                              <w:p w14:paraId="45F2ACAB" w14:textId="77777777" w:rsidR="005D0A9B" w:rsidRDefault="005D0A9B" w:rsidP="005D0A9B">
                                                <w:pPr>
                                                  <w:spacing w:after="300"/>
                                                  <w:jc w:val="both"/>
                                                  <w:rPr>
                                                    <w:rFonts w:ascii="Marianne" w:hAnsi="Marianne"/>
                                                    <w:color w:val="7030A0"/>
                                                  </w:rPr>
                                                </w:pPr>
                                                <w:r w:rsidRPr="005D0A9B">
                                                  <w:rPr>
                                                    <w:rFonts w:ascii="Marianne" w:hAnsi="Marianne"/>
                                                    <w:color w:val="7030A0"/>
                                                  </w:rPr>
                                                  <w:t xml:space="preserve">A l'appui de ces références, l'agent comptable saisissant est en mesure d'imputer les virements individuels reçus sur les titres de recettes concernés. </w:t>
                                                </w:r>
                                                <w:r w:rsidRPr="005D0A9B">
                                                  <w:rPr>
                                                    <w:rFonts w:ascii="Marianne" w:hAnsi="Marianne"/>
                                                    <w:color w:val="7030A0"/>
                                                  </w:rPr>
                                                  <w:br/>
                                                  <w:t xml:space="preserve">A titre transitoire, la CNAVTS et les CARSAT continueront tout de même d'adresser en parallèle aux services, toujours par voie postale, les bordereaux détaillant les virements effectués, afin de sécuriser la mise en œuvre du dispositif et de permettre, en tout état de cause, une imputation des virements. </w:t>
                                                </w:r>
                                              </w:p>
                                              <w:p w14:paraId="4F02DF65" w14:textId="55930A11" w:rsidR="005D0A9B" w:rsidRPr="005D0A9B" w:rsidRDefault="005D0A9B" w:rsidP="005D0A9B">
                                                <w:pPr>
                                                  <w:spacing w:after="300"/>
                                                  <w:jc w:val="both"/>
                                                  <w:rPr>
                                                    <w:rFonts w:ascii="Marianne" w:hAnsi="Marianne"/>
                                                    <w:color w:val="7030A0"/>
                                                  </w:rPr>
                                                </w:pPr>
                                                <w:r>
                                                  <w:rPr>
                                                    <w:rFonts w:ascii="Marianne" w:hAnsi="Marianne"/>
                                                    <w:i/>
                                                    <w:iCs/>
                                                    <w:color w:val="7030A0"/>
                                                    <w:sz w:val="21"/>
                                                    <w:szCs w:val="21"/>
                                                  </w:rPr>
                                                  <w:t xml:space="preserve">Paris le 20 août 2026 </w:t>
                                                </w:r>
                                                <w:r w:rsidRPr="005D0A9B">
                                                  <w:rPr>
                                                    <w:rFonts w:ascii="Marianne" w:hAnsi="Marianne"/>
                                                    <w:i/>
                                                    <w:iCs/>
                                                    <w:color w:val="7030A0"/>
                                                    <w:sz w:val="21"/>
                                                    <w:szCs w:val="21"/>
                                                  </w:rPr>
                                                  <w:t>Le bureau 2FCE-2B des Opérateurs de l’État</w:t>
                                                </w:r>
                                                <w:r w:rsidRPr="005D0A9B">
                                                  <w:rPr>
                                                    <w:rFonts w:ascii="Marianne" w:hAnsi="Marianne"/>
                                                    <w:color w:val="7030A0"/>
                                                    <w:sz w:val="21"/>
                                                    <w:szCs w:val="21"/>
                                                  </w:rPr>
                                                  <w:t xml:space="preserve"> </w:t>
                                                </w:r>
                                              </w:p>
                                            </w:tc>
                                          </w:tr>
                                        </w:tbl>
                                        <w:p w14:paraId="2383E27F" w14:textId="77777777" w:rsidR="005D0A9B" w:rsidRPr="005D0A9B" w:rsidRDefault="005D0A9B" w:rsidP="005D0A9B">
                                          <w:pPr>
                                            <w:jc w:val="both"/>
                                            <w:rPr>
                                              <w:rFonts w:ascii="Marianne" w:hAnsi="Marianne"/>
                                              <w:color w:val="7030A0"/>
                                            </w:rPr>
                                          </w:pPr>
                                        </w:p>
                                      </w:tc>
                                    </w:tr>
                                  </w:tbl>
                                  <w:p w14:paraId="0B8E65CB" w14:textId="77777777" w:rsidR="005D0A9B" w:rsidRPr="005D0A9B" w:rsidRDefault="005D0A9B" w:rsidP="005D0A9B">
                                    <w:pPr>
                                      <w:jc w:val="both"/>
                                      <w:rPr>
                                        <w:rFonts w:ascii="Marianne" w:hAnsi="Marianne"/>
                                        <w:color w:val="7030A0"/>
                                      </w:rPr>
                                    </w:pPr>
                                  </w:p>
                                </w:tc>
                              </w:tr>
                            </w:tbl>
                            <w:p w14:paraId="71474EE4" w14:textId="77777777" w:rsidR="005D0A9B" w:rsidRPr="005D0A9B" w:rsidRDefault="005D0A9B" w:rsidP="005D0A9B">
                              <w:pPr>
                                <w:jc w:val="both"/>
                                <w:rPr>
                                  <w:rFonts w:ascii="Marianne" w:hAnsi="Marianne"/>
                                  <w:color w:val="7030A0"/>
                                </w:rPr>
                              </w:pPr>
                            </w:p>
                          </w:tc>
                        </w:tr>
                      </w:tbl>
                      <w:p w14:paraId="404502C3" w14:textId="77777777" w:rsidR="005D0A9B" w:rsidRPr="005D0A9B" w:rsidRDefault="005D0A9B" w:rsidP="005D0A9B">
                        <w:pPr>
                          <w:jc w:val="both"/>
                          <w:rPr>
                            <w:rFonts w:ascii="Marianne" w:hAnsi="Marianne"/>
                            <w:color w:val="7030A0"/>
                          </w:rPr>
                        </w:pPr>
                      </w:p>
                    </w:tc>
                  </w:tr>
                </w:tbl>
                <w:p w14:paraId="1CDE36BE" w14:textId="77777777" w:rsidR="005D0A9B" w:rsidRPr="005D0A9B" w:rsidRDefault="005D0A9B" w:rsidP="005D0A9B">
                  <w:pPr>
                    <w:jc w:val="both"/>
                    <w:rPr>
                      <w:rFonts w:ascii="Marianne" w:hAnsi="Marianne"/>
                      <w:color w:val="7030A0"/>
                    </w:rPr>
                  </w:pPr>
                </w:p>
              </w:tc>
            </w:tr>
          </w:tbl>
          <w:p w14:paraId="18C538BC" w14:textId="77777777" w:rsidR="005D0A9B" w:rsidRDefault="005D0A9B">
            <w:pPr>
              <w:rPr>
                <w:rFonts w:ascii="Aptos" w:hAnsi="Aptos" w:cs="Aptos"/>
                <w:vanish/>
                <w:color w:val="000000"/>
              </w:rPr>
            </w:pPr>
          </w:p>
          <w:tbl>
            <w:tblPr>
              <w:tblW w:w="5000" w:type="pct"/>
              <w:jc w:val="center"/>
              <w:tblCellSpacing w:w="0" w:type="dxa"/>
              <w:tblCellMar>
                <w:left w:w="0" w:type="dxa"/>
                <w:right w:w="0" w:type="dxa"/>
              </w:tblCellMar>
              <w:tblLook w:val="04A0" w:firstRow="1" w:lastRow="0" w:firstColumn="1" w:lastColumn="0" w:noHBand="0" w:noVBand="1"/>
            </w:tblPr>
            <w:tblGrid>
              <w:gridCol w:w="9072"/>
            </w:tblGrid>
            <w:tr w:rsidR="005D0A9B" w14:paraId="6A3EFE20" w14:textId="77777777">
              <w:trPr>
                <w:tblCellSpacing w:w="0" w:type="dxa"/>
                <w:jc w:val="center"/>
              </w:trPr>
              <w:tc>
                <w:tcPr>
                  <w:tcW w:w="0" w:type="auto"/>
                  <w:shd w:val="clear" w:color="auto" w:fill="484D7A"/>
                  <w:hideMark/>
                </w:tcPr>
                <w:tbl>
                  <w:tblPr>
                    <w:tblW w:w="13500" w:type="dxa"/>
                    <w:jc w:val="center"/>
                    <w:tblCellSpacing w:w="0" w:type="dxa"/>
                    <w:tblCellMar>
                      <w:left w:w="0" w:type="dxa"/>
                      <w:right w:w="0" w:type="dxa"/>
                    </w:tblCellMar>
                    <w:tblLook w:val="04A0" w:firstRow="1" w:lastRow="0" w:firstColumn="1" w:lastColumn="0" w:noHBand="0" w:noVBand="1"/>
                  </w:tblPr>
                  <w:tblGrid>
                    <w:gridCol w:w="13500"/>
                  </w:tblGrid>
                  <w:tr w:rsidR="005D0A9B" w14:paraId="0B350808" w14:textId="77777777">
                    <w:trPr>
                      <w:tblCellSpacing w:w="0" w:type="dxa"/>
                      <w:jc w:val="center"/>
                    </w:trPr>
                    <w:tc>
                      <w:tcPr>
                        <w:tcW w:w="0" w:type="auto"/>
                        <w:tcMar>
                          <w:top w:w="0" w:type="dxa"/>
                          <w:left w:w="300" w:type="dxa"/>
                          <w:bottom w:w="450" w:type="dxa"/>
                          <w:right w:w="30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2900"/>
                        </w:tblGrid>
                        <w:tr w:rsidR="005D0A9B" w14:paraId="706EA4AC" w14:textId="77777777">
                          <w:trPr>
                            <w:tblCellSpacing w:w="0" w:type="dxa"/>
                          </w:trPr>
                          <w:tc>
                            <w:tcPr>
                              <w:tcW w:w="5000" w:type="pct"/>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2900"/>
                              </w:tblGrid>
                              <w:tr w:rsidR="005D0A9B" w14:paraId="0609A63F" w14:textId="77777777">
                                <w:trPr>
                                  <w:tblCellSpacing w:w="0" w:type="dxa"/>
                                  <w:jc w:val="center"/>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12900"/>
                                    </w:tblGrid>
                                    <w:tr w:rsidR="005D0A9B" w14:paraId="6F4F9A05" w14:textId="77777777">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900"/>
                                          </w:tblGrid>
                                          <w:tr w:rsidR="005D0A9B" w14:paraId="2F168B23" w14:textId="77777777">
                                            <w:trPr>
                                              <w:tblCellSpacing w:w="0" w:type="dxa"/>
                                            </w:trPr>
                                            <w:tc>
                                              <w:tcPr>
                                                <w:tcW w:w="0" w:type="auto"/>
                                                <w:tcMar>
                                                  <w:top w:w="450" w:type="dxa"/>
                                                  <w:left w:w="0" w:type="dxa"/>
                                                  <w:bottom w:w="0" w:type="dxa"/>
                                                  <w:right w:w="0" w:type="dxa"/>
                                                </w:tcMar>
                                                <w:hideMark/>
                                              </w:tcPr>
                                              <w:p w14:paraId="611E3D64" w14:textId="77777777" w:rsidR="005D0A9B" w:rsidRDefault="005D0A9B">
                                                <w:pPr>
                                                  <w:jc w:val="center"/>
                                                  <w:rPr>
                                                    <w:rFonts w:ascii="Montserrat" w:hAnsi="Montserrat"/>
                                                    <w:color w:val="FFFFFF"/>
                                                    <w:sz w:val="27"/>
                                                    <w:szCs w:val="27"/>
                                                  </w:rPr>
                                                </w:pPr>
                                                <w:r>
                                                  <w:rPr>
                                                    <w:rFonts w:ascii="Montserrat" w:hAnsi="Montserrat"/>
                                                    <w:color w:val="FFFFFF"/>
                                                    <w:sz w:val="27"/>
                                                    <w:szCs w:val="27"/>
                                                  </w:rPr>
                                                  <w:t>Nous écrire :</w:t>
                                                </w:r>
                                              </w:p>
                                              <w:p w14:paraId="60260EE7" w14:textId="77777777" w:rsidR="005D0A9B" w:rsidRDefault="005D0A9B">
                                                <w:pPr>
                                                  <w:pStyle w:val="NormalWeb"/>
                                                  <w:jc w:val="center"/>
                                                  <w:rPr>
                                                    <w:rFonts w:ascii="Montserrat" w:hAnsi="Montserrat"/>
                                                    <w:color w:val="3E3E3E"/>
                                                    <w:sz w:val="30"/>
                                                    <w:szCs w:val="30"/>
                                                  </w:rPr>
                                                </w:pPr>
                                                <w:hyperlink r:id="rId8" w:history="1">
                                                  <w:r>
                                                    <w:rPr>
                                                      <w:rStyle w:val="Lienhypertexte"/>
                                                      <w:rFonts w:ascii="Montserrat" w:hAnsi="Montserrat"/>
                                                      <w:b w:val="0"/>
                                                      <w:bCs w:val="0"/>
                                                      <w:sz w:val="30"/>
                                                      <w:szCs w:val="30"/>
                                                    </w:rPr>
                                                    <w:t>bureau.ce2b-epn@dgfip.finances.gouv.fr</w:t>
                                                  </w:r>
                                                </w:hyperlink>
                                              </w:p>
                                            </w:tc>
                                          </w:tr>
                                        </w:tbl>
                                        <w:p w14:paraId="0EE481AE" w14:textId="77777777" w:rsidR="005D0A9B" w:rsidRDefault="005D0A9B">
                                          <w:pPr>
                                            <w:rPr>
                                              <w:rFonts w:ascii="Times New Roman" w:eastAsia="Times New Roman" w:hAnsi="Times New Roman" w:cs="Times New Roman"/>
                                              <w:sz w:val="20"/>
                                              <w:szCs w:val="20"/>
                                            </w:rPr>
                                          </w:pPr>
                                        </w:p>
                                      </w:tc>
                                    </w:tr>
                                  </w:tbl>
                                  <w:p w14:paraId="5BD4994A" w14:textId="77777777" w:rsidR="005D0A9B" w:rsidRDefault="005D0A9B">
                                    <w:pPr>
                                      <w:rPr>
                                        <w:rFonts w:ascii="Times New Roman" w:eastAsia="Times New Roman" w:hAnsi="Times New Roman" w:cs="Times New Roman"/>
                                        <w:sz w:val="20"/>
                                        <w:szCs w:val="20"/>
                                      </w:rPr>
                                    </w:pPr>
                                  </w:p>
                                </w:tc>
                              </w:tr>
                            </w:tbl>
                            <w:p w14:paraId="3B3B63C1" w14:textId="77777777" w:rsidR="005D0A9B" w:rsidRDefault="005D0A9B">
                              <w:pPr>
                                <w:jc w:val="center"/>
                                <w:rPr>
                                  <w:rFonts w:ascii="Times New Roman" w:eastAsia="Times New Roman" w:hAnsi="Times New Roman" w:cs="Times New Roman"/>
                                  <w:sz w:val="20"/>
                                  <w:szCs w:val="20"/>
                                </w:rPr>
                              </w:pPr>
                            </w:p>
                          </w:tc>
                        </w:tr>
                      </w:tbl>
                      <w:p w14:paraId="5FB05836" w14:textId="77777777" w:rsidR="005D0A9B" w:rsidRDefault="005D0A9B">
                        <w:pPr>
                          <w:rPr>
                            <w:rFonts w:ascii="Times New Roman" w:eastAsia="Times New Roman" w:hAnsi="Times New Roman" w:cs="Times New Roman"/>
                            <w:sz w:val="20"/>
                            <w:szCs w:val="20"/>
                          </w:rPr>
                        </w:pPr>
                      </w:p>
                    </w:tc>
                  </w:tr>
                </w:tbl>
                <w:p w14:paraId="0C81CA6A" w14:textId="77777777" w:rsidR="005D0A9B" w:rsidRDefault="005D0A9B">
                  <w:pPr>
                    <w:jc w:val="center"/>
                    <w:rPr>
                      <w:rFonts w:ascii="Times New Roman" w:eastAsia="Times New Roman" w:hAnsi="Times New Roman" w:cs="Times New Roman"/>
                      <w:sz w:val="20"/>
                      <w:szCs w:val="20"/>
                    </w:rPr>
                  </w:pPr>
                </w:p>
              </w:tc>
            </w:tr>
          </w:tbl>
          <w:p w14:paraId="0DA8059E" w14:textId="77777777" w:rsidR="005D0A9B" w:rsidRDefault="005D0A9B">
            <w:pPr>
              <w:jc w:val="center"/>
              <w:rPr>
                <w:rFonts w:ascii="Times New Roman" w:eastAsia="Times New Roman" w:hAnsi="Times New Roman" w:cs="Times New Roman"/>
                <w:sz w:val="20"/>
                <w:szCs w:val="20"/>
              </w:rPr>
            </w:pPr>
          </w:p>
        </w:tc>
      </w:tr>
    </w:tbl>
    <w:p w14:paraId="0D918653" w14:textId="77777777" w:rsidR="005D0A9B" w:rsidRPr="005D0A9B" w:rsidRDefault="005D0A9B">
      <w:pPr>
        <w:rPr>
          <w:b/>
          <w:bCs/>
          <w:color w:val="7030A0"/>
        </w:rPr>
      </w:pPr>
    </w:p>
    <w:sectPr w:rsidR="005D0A9B" w:rsidRPr="005D0A9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8DBEB" w14:textId="77777777" w:rsidR="00E3098B" w:rsidRDefault="00E3098B" w:rsidP="005D0A9B">
      <w:pPr>
        <w:spacing w:after="0" w:line="240" w:lineRule="auto"/>
      </w:pPr>
      <w:r>
        <w:separator/>
      </w:r>
    </w:p>
  </w:endnote>
  <w:endnote w:type="continuationSeparator" w:id="0">
    <w:p w14:paraId="2CA1AA0D" w14:textId="77777777" w:rsidR="00E3098B" w:rsidRDefault="00E3098B" w:rsidP="005D0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ianne">
    <w:altName w:val="Calibri"/>
    <w:charset w:val="00"/>
    <w:family w:val="auto"/>
    <w:pitch w:val="default"/>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0E4B" w14:textId="77777777" w:rsidR="005D0A9B" w:rsidRDefault="005D0A9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FD2E9" w14:textId="727F237A" w:rsidR="005D0A9B" w:rsidRPr="005D0A9B" w:rsidRDefault="005D0A9B">
    <w:pPr>
      <w:pStyle w:val="Pieddepage"/>
      <w:rPr>
        <w:i/>
        <w:iCs/>
        <w:color w:val="A6A6A6" w:themeColor="background1" w:themeShade="A6"/>
      </w:rPr>
    </w:pPr>
    <w:r w:rsidRPr="005D0A9B">
      <w:rPr>
        <w:i/>
        <w:iCs/>
        <w:color w:val="A6A6A6" w:themeColor="background1" w:themeShade="A6"/>
      </w:rPr>
      <w:t>MAJ AAC DOC SATD CAISSES RETRAITES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5BEF0" w14:textId="77777777" w:rsidR="005D0A9B" w:rsidRDefault="005D0A9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FA06B" w14:textId="77777777" w:rsidR="00E3098B" w:rsidRDefault="00E3098B" w:rsidP="005D0A9B">
      <w:pPr>
        <w:spacing w:after="0" w:line="240" w:lineRule="auto"/>
      </w:pPr>
      <w:r>
        <w:separator/>
      </w:r>
    </w:p>
  </w:footnote>
  <w:footnote w:type="continuationSeparator" w:id="0">
    <w:p w14:paraId="0332B8D9" w14:textId="77777777" w:rsidR="00E3098B" w:rsidRDefault="00E3098B" w:rsidP="005D0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2708" w14:textId="77777777" w:rsidR="005D0A9B" w:rsidRDefault="005D0A9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7C8F" w14:textId="77777777" w:rsidR="005D0A9B" w:rsidRDefault="005D0A9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42C7" w14:textId="77777777" w:rsidR="005D0A9B" w:rsidRDefault="005D0A9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2136D"/>
    <w:multiLevelType w:val="multilevel"/>
    <w:tmpl w:val="FECEB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6537D"/>
    <w:multiLevelType w:val="multilevel"/>
    <w:tmpl w:val="43686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AD2631"/>
    <w:multiLevelType w:val="multilevel"/>
    <w:tmpl w:val="9E0000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D11936"/>
    <w:multiLevelType w:val="multilevel"/>
    <w:tmpl w:val="E1646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03588159">
    <w:abstractNumId w:val="0"/>
    <w:lvlOverride w:ilvl="0"/>
    <w:lvlOverride w:ilvl="1"/>
    <w:lvlOverride w:ilvl="2"/>
    <w:lvlOverride w:ilvl="3"/>
    <w:lvlOverride w:ilvl="4"/>
    <w:lvlOverride w:ilvl="5"/>
    <w:lvlOverride w:ilvl="6"/>
    <w:lvlOverride w:ilvl="7"/>
    <w:lvlOverride w:ilvl="8"/>
  </w:num>
  <w:num w:numId="2" w16cid:durableId="584457185">
    <w:abstractNumId w:val="3"/>
    <w:lvlOverride w:ilvl="0"/>
    <w:lvlOverride w:ilvl="1"/>
    <w:lvlOverride w:ilvl="2"/>
    <w:lvlOverride w:ilvl="3"/>
    <w:lvlOverride w:ilvl="4"/>
    <w:lvlOverride w:ilvl="5"/>
    <w:lvlOverride w:ilvl="6"/>
    <w:lvlOverride w:ilvl="7"/>
    <w:lvlOverride w:ilvl="8"/>
  </w:num>
  <w:num w:numId="3" w16cid:durableId="1286548080">
    <w:abstractNumId w:val="2"/>
    <w:lvlOverride w:ilvl="0"/>
    <w:lvlOverride w:ilvl="1"/>
    <w:lvlOverride w:ilvl="2"/>
    <w:lvlOverride w:ilvl="3"/>
    <w:lvlOverride w:ilvl="4"/>
    <w:lvlOverride w:ilvl="5"/>
    <w:lvlOverride w:ilvl="6"/>
    <w:lvlOverride w:ilvl="7"/>
    <w:lvlOverride w:ilvl="8"/>
  </w:num>
  <w:num w:numId="4" w16cid:durableId="205700573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A9B"/>
    <w:rsid w:val="00306E20"/>
    <w:rsid w:val="005D0A9B"/>
    <w:rsid w:val="00AF7E60"/>
    <w:rsid w:val="00BD434F"/>
    <w:rsid w:val="00E3098B"/>
    <w:rsid w:val="00EE6F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2D4D"/>
  <w15:chartTrackingRefBased/>
  <w15:docId w15:val="{D47B5C66-09B4-4529-B59E-0DC0E7930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D0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D0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D0A9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D0A9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D0A9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D0A9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D0A9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D0A9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D0A9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D0A9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D0A9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D0A9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D0A9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D0A9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D0A9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D0A9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D0A9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D0A9B"/>
    <w:rPr>
      <w:rFonts w:eastAsiaTheme="majorEastAsia" w:cstheme="majorBidi"/>
      <w:color w:val="272727" w:themeColor="text1" w:themeTint="D8"/>
    </w:rPr>
  </w:style>
  <w:style w:type="paragraph" w:styleId="Titre">
    <w:name w:val="Title"/>
    <w:basedOn w:val="Normal"/>
    <w:next w:val="Normal"/>
    <w:link w:val="TitreCar"/>
    <w:uiPriority w:val="10"/>
    <w:qFormat/>
    <w:rsid w:val="005D0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D0A9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D0A9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D0A9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D0A9B"/>
    <w:pPr>
      <w:spacing w:before="160"/>
      <w:jc w:val="center"/>
    </w:pPr>
    <w:rPr>
      <w:i/>
      <w:iCs/>
      <w:color w:val="404040" w:themeColor="text1" w:themeTint="BF"/>
    </w:rPr>
  </w:style>
  <w:style w:type="character" w:customStyle="1" w:styleId="CitationCar">
    <w:name w:val="Citation Car"/>
    <w:basedOn w:val="Policepardfaut"/>
    <w:link w:val="Citation"/>
    <w:uiPriority w:val="29"/>
    <w:rsid w:val="005D0A9B"/>
    <w:rPr>
      <w:i/>
      <w:iCs/>
      <w:color w:val="404040" w:themeColor="text1" w:themeTint="BF"/>
    </w:rPr>
  </w:style>
  <w:style w:type="paragraph" w:styleId="Paragraphedeliste">
    <w:name w:val="List Paragraph"/>
    <w:basedOn w:val="Normal"/>
    <w:uiPriority w:val="34"/>
    <w:qFormat/>
    <w:rsid w:val="005D0A9B"/>
    <w:pPr>
      <w:ind w:left="720"/>
      <w:contextualSpacing/>
    </w:pPr>
  </w:style>
  <w:style w:type="character" w:styleId="Accentuationintense">
    <w:name w:val="Intense Emphasis"/>
    <w:basedOn w:val="Policepardfaut"/>
    <w:uiPriority w:val="21"/>
    <w:qFormat/>
    <w:rsid w:val="005D0A9B"/>
    <w:rPr>
      <w:i/>
      <w:iCs/>
      <w:color w:val="0F4761" w:themeColor="accent1" w:themeShade="BF"/>
    </w:rPr>
  </w:style>
  <w:style w:type="paragraph" w:styleId="Citationintense">
    <w:name w:val="Intense Quote"/>
    <w:basedOn w:val="Normal"/>
    <w:next w:val="Normal"/>
    <w:link w:val="CitationintenseCar"/>
    <w:uiPriority w:val="30"/>
    <w:qFormat/>
    <w:rsid w:val="005D0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D0A9B"/>
    <w:rPr>
      <w:i/>
      <w:iCs/>
      <w:color w:val="0F4761" w:themeColor="accent1" w:themeShade="BF"/>
    </w:rPr>
  </w:style>
  <w:style w:type="character" w:styleId="Rfrenceintense">
    <w:name w:val="Intense Reference"/>
    <w:basedOn w:val="Policepardfaut"/>
    <w:uiPriority w:val="32"/>
    <w:qFormat/>
    <w:rsid w:val="005D0A9B"/>
    <w:rPr>
      <w:b/>
      <w:bCs/>
      <w:smallCaps/>
      <w:color w:val="0F4761" w:themeColor="accent1" w:themeShade="BF"/>
      <w:spacing w:val="5"/>
    </w:rPr>
  </w:style>
  <w:style w:type="character" w:styleId="Lienhypertexte">
    <w:name w:val="Hyperlink"/>
    <w:basedOn w:val="Policepardfaut"/>
    <w:uiPriority w:val="99"/>
    <w:semiHidden/>
    <w:unhideWhenUsed/>
    <w:rsid w:val="005D0A9B"/>
    <w:rPr>
      <w:b/>
      <w:bCs/>
      <w:color w:val="B7B7BC"/>
      <w:u w:val="single"/>
    </w:rPr>
  </w:style>
  <w:style w:type="paragraph" w:styleId="NormalWeb">
    <w:name w:val="Normal (Web)"/>
    <w:basedOn w:val="Normal"/>
    <w:uiPriority w:val="99"/>
    <w:semiHidden/>
    <w:unhideWhenUsed/>
    <w:rsid w:val="005D0A9B"/>
    <w:pPr>
      <w:spacing w:after="0" w:line="240" w:lineRule="auto"/>
    </w:pPr>
    <w:rPr>
      <w:rFonts w:ascii="Aptos" w:hAnsi="Aptos" w:cs="Aptos"/>
      <w:color w:val="000000"/>
      <w:kern w:val="0"/>
      <w:lang w:eastAsia="fr-FR"/>
      <w14:ligatures w14:val="none"/>
    </w:rPr>
  </w:style>
  <w:style w:type="paragraph" w:styleId="En-tte">
    <w:name w:val="header"/>
    <w:basedOn w:val="Normal"/>
    <w:link w:val="En-tteCar"/>
    <w:uiPriority w:val="99"/>
    <w:unhideWhenUsed/>
    <w:rsid w:val="005D0A9B"/>
    <w:pPr>
      <w:tabs>
        <w:tab w:val="center" w:pos="4536"/>
        <w:tab w:val="right" w:pos="9072"/>
      </w:tabs>
      <w:spacing w:after="0" w:line="240" w:lineRule="auto"/>
    </w:pPr>
  </w:style>
  <w:style w:type="character" w:customStyle="1" w:styleId="En-tteCar">
    <w:name w:val="En-tête Car"/>
    <w:basedOn w:val="Policepardfaut"/>
    <w:link w:val="En-tte"/>
    <w:uiPriority w:val="99"/>
    <w:rsid w:val="005D0A9B"/>
  </w:style>
  <w:style w:type="paragraph" w:styleId="Pieddepage">
    <w:name w:val="footer"/>
    <w:basedOn w:val="Normal"/>
    <w:link w:val="PieddepageCar"/>
    <w:uiPriority w:val="99"/>
    <w:unhideWhenUsed/>
    <w:rsid w:val="005D0A9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0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eau.ce2b-epn@dgfip.finances.gouv.f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mibc-fr-11.mailinblack.com/securelink/?url=https://www.economie.gouv.fr&amp;key=eyJsYW5nIjoiRlIiLCJ1cmwiOiJodHRwczovL3d3dy5lY29ub21pZS5nb3V2LmZyL2ZpbGVzL2ZpbGVzL2RpcmVjdGlvbnNfc2VydmljZXMvZGdmaXAvbWVkaWEtZG9jdW1lbnQvZ2NwMjMwMDM1LnBkZiIsInRva2VuIjoiZ0FBQUFBQnFod3Q1R2gyVGUzT29RM3ZJeHZpenVmdW9MWnZJWU1IZUVyc0R4Q3VRb1JvM0Rab0NHdGI3ZVJ1YUJqX2hMdXg5dF81Nm5JWWJWcU1GWXBKd2tJWXBlX2RzQUdMcno0eDNRUHJadlpfUkhGdGhHa2liLWlUMDVnWURjMHNjMDNpME1iUTdXdmktY3pMM0dPRDdJbWloU2FiNHdobTdoeDhXMnh0RWNTZGVzTWU2NnNxNS1VdUpGTlpVSXZVaFdnN0kzajJ4U0JRa3MzVVE3R1FTNDdISHc2QWNSQ2ZLYUxSZk1oclZtd3BtQ04yRmlYeVNwRTU1LTRhV3VJUzVyZUU1UE14UzVLX2dkeWJxMmxORDNxT1dtbmUxV1dPME42dFlCdDZEOVM2cW05ek1Ka0M5UWlKeU1WNTczWGhvbDYzTlJaa0oifQ=="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519</Words>
  <Characters>2886</Characters>
  <Application>Microsoft Office Word</Application>
  <DocSecurity>0</DocSecurity>
  <Lines>75</Lines>
  <Paragraphs>10</Paragraphs>
  <ScaleCrop>false</ScaleCrop>
  <Company>GRAND PORT MARITIME DE MARSEILLE</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1</cp:revision>
  <dcterms:created xsi:type="dcterms:W3CDTF">2026-08-20T14:15:00Z</dcterms:created>
  <dcterms:modified xsi:type="dcterms:W3CDTF">2026-08-20T14:26:00Z</dcterms:modified>
</cp:coreProperties>
</file>