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30A28" w14:textId="4F7FE1CC" w:rsidR="00BD434F" w:rsidRPr="001670F7" w:rsidRDefault="001670F7" w:rsidP="001670F7">
      <w:pPr>
        <w:jc w:val="center"/>
        <w:rPr>
          <w:color w:val="7030A0"/>
        </w:rPr>
      </w:pPr>
      <w:r w:rsidRPr="001670F7">
        <w:rPr>
          <w:color w:val="7030A0"/>
        </w:rPr>
        <w:t>NOTIFICATION DE PAIEMENT DIRECT A UN ETABLISSEMENT PUBLIC</w:t>
      </w:r>
    </w:p>
    <w:p w14:paraId="678C1B5D" w14:textId="77777777" w:rsidR="001670F7" w:rsidRDefault="001670F7"/>
    <w:p w14:paraId="3D0839AB" w14:textId="77777777" w:rsidR="001670F7" w:rsidRPr="001670F7" w:rsidRDefault="001670F7" w:rsidP="00167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kern w:val="0"/>
          <w:u w:val="single"/>
        </w:rPr>
      </w:pPr>
      <w:r w:rsidRPr="001670F7">
        <w:rPr>
          <w:rFonts w:cs="Arial"/>
          <w:b/>
          <w:bCs/>
          <w:kern w:val="0"/>
          <w:u w:val="single"/>
        </w:rPr>
        <w:t>I.De la validité de la notification de paiement direct.</w:t>
      </w:r>
    </w:p>
    <w:p w14:paraId="31161746" w14:textId="0A5F3A69" w:rsidR="001670F7" w:rsidRPr="001670F7" w:rsidRDefault="001670F7" w:rsidP="00167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kern w:val="0"/>
        </w:rPr>
      </w:pPr>
      <w:r w:rsidRPr="001670F7">
        <w:rPr>
          <w:rFonts w:cs="Arial"/>
          <w:kern w:val="0"/>
        </w:rPr>
        <w:t>Une demande de paiement direct de pension alimentaire constitue une opposition et toute opposition doit,</w:t>
      </w:r>
      <w:r>
        <w:rPr>
          <w:rFonts w:cs="Arial"/>
          <w:kern w:val="0"/>
        </w:rPr>
        <w:t xml:space="preserve"> </w:t>
      </w:r>
      <w:r w:rsidRPr="001670F7">
        <w:rPr>
          <w:rFonts w:cs="Arial"/>
          <w:kern w:val="0"/>
        </w:rPr>
        <w:t>à peine de nullité, être notifiée à l’agent comptable public assignataire de la dépense.</w:t>
      </w:r>
    </w:p>
    <w:p w14:paraId="6C9809AF" w14:textId="645E8FE2" w:rsidR="001670F7" w:rsidRPr="001670F7" w:rsidRDefault="001670F7" w:rsidP="00167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kern w:val="0"/>
        </w:rPr>
      </w:pPr>
      <w:r w:rsidRPr="001670F7">
        <w:rPr>
          <w:rFonts w:cs="Arial"/>
          <w:kern w:val="0"/>
        </w:rPr>
        <w:t>Le décret n° 2012-1246 du 7 novembre 2012 relatif à la gestion budgétaire et comptable publique dispose</w:t>
      </w:r>
      <w:r>
        <w:rPr>
          <w:rFonts w:cs="Arial"/>
          <w:kern w:val="0"/>
        </w:rPr>
        <w:t xml:space="preserve"> </w:t>
      </w:r>
      <w:r w:rsidRPr="001670F7">
        <w:rPr>
          <w:rFonts w:cs="Arial"/>
          <w:kern w:val="0"/>
        </w:rPr>
        <w:t>notamment :</w:t>
      </w:r>
    </w:p>
    <w:p w14:paraId="00D68D38" w14:textId="3A107D9F" w:rsidR="001670F7" w:rsidRPr="001670F7" w:rsidRDefault="001670F7" w:rsidP="00167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kern w:val="0"/>
        </w:rPr>
      </w:pPr>
      <w:r w:rsidRPr="001670F7">
        <w:rPr>
          <w:rFonts w:cs="Arial"/>
          <w:kern w:val="0"/>
        </w:rPr>
        <w:t>- Article 18 : « Dans le poste comptable qu’il dirige, le comptable public est seul chargé : 8° De la</w:t>
      </w:r>
      <w:r>
        <w:rPr>
          <w:rFonts w:cs="Arial"/>
          <w:kern w:val="0"/>
        </w:rPr>
        <w:t xml:space="preserve"> </w:t>
      </w:r>
      <w:r w:rsidRPr="001670F7">
        <w:rPr>
          <w:rFonts w:cs="Arial"/>
          <w:kern w:val="0"/>
        </w:rPr>
        <w:t>suite à donner aux oppositions à paiement et autres significations ; »</w:t>
      </w:r>
    </w:p>
    <w:p w14:paraId="5709603A" w14:textId="6F0C875D" w:rsidR="001670F7" w:rsidRPr="001670F7" w:rsidRDefault="001670F7" w:rsidP="00167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kern w:val="0"/>
        </w:rPr>
      </w:pPr>
      <w:r w:rsidRPr="001670F7">
        <w:rPr>
          <w:rFonts w:cs="Arial"/>
          <w:kern w:val="0"/>
        </w:rPr>
        <w:t>- Article 37 : Toute opposition ou toute autre signification ayant pour objet d'empêcher un paiement</w:t>
      </w:r>
      <w:r>
        <w:rPr>
          <w:rFonts w:cs="Arial"/>
          <w:kern w:val="0"/>
        </w:rPr>
        <w:t xml:space="preserve"> </w:t>
      </w:r>
      <w:r w:rsidRPr="001670F7">
        <w:rPr>
          <w:rFonts w:cs="Arial"/>
          <w:kern w:val="0"/>
        </w:rPr>
        <w:t xml:space="preserve">doit être faite </w:t>
      </w:r>
      <w:r w:rsidRPr="001670F7">
        <w:rPr>
          <w:rFonts w:cs="Arial"/>
          <w:kern w:val="0"/>
          <w:u w:val="single"/>
        </w:rPr>
        <w:t>entre les mains du comptable public assignataire</w:t>
      </w:r>
      <w:r w:rsidRPr="001670F7">
        <w:rPr>
          <w:rFonts w:cs="Arial"/>
          <w:kern w:val="0"/>
        </w:rPr>
        <w:t xml:space="preserve"> de la dépense</w:t>
      </w:r>
    </w:p>
    <w:p w14:paraId="06370445" w14:textId="1D8EE6BB" w:rsidR="001670F7" w:rsidRPr="001670F7" w:rsidRDefault="001670F7" w:rsidP="00167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kern w:val="0"/>
        </w:rPr>
      </w:pPr>
      <w:r w:rsidRPr="001670F7">
        <w:rPr>
          <w:rFonts w:cs="Arial"/>
          <w:kern w:val="0"/>
        </w:rPr>
        <w:t>Puisque la demande de paiement direct ne lui pas été notifiée es qualité, l’agent comptable n’est pas fondé</w:t>
      </w:r>
      <w:r>
        <w:rPr>
          <w:rFonts w:cs="Arial"/>
          <w:kern w:val="0"/>
        </w:rPr>
        <w:t xml:space="preserve"> </w:t>
      </w:r>
      <w:r w:rsidRPr="001670F7">
        <w:rPr>
          <w:rFonts w:cs="Arial"/>
          <w:kern w:val="0"/>
        </w:rPr>
        <w:t>à l’exécuter et est fondé à répondre négativement.</w:t>
      </w:r>
    </w:p>
    <w:p w14:paraId="58BAF0D3" w14:textId="5510654A" w:rsidR="001670F7" w:rsidRPr="001670F7" w:rsidRDefault="001670F7" w:rsidP="00167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kern w:val="0"/>
        </w:rPr>
      </w:pPr>
      <w:r w:rsidRPr="001670F7">
        <w:rPr>
          <w:rFonts w:cs="Arial"/>
          <w:kern w:val="0"/>
        </w:rPr>
        <w:t>Il est recommandé d’écrire à la CAF en expliquant le refus et en l’informant des coordonnées de l’agent</w:t>
      </w:r>
      <w:r>
        <w:rPr>
          <w:rFonts w:cs="Arial"/>
          <w:kern w:val="0"/>
        </w:rPr>
        <w:t xml:space="preserve"> </w:t>
      </w:r>
      <w:r w:rsidRPr="001670F7">
        <w:rPr>
          <w:rFonts w:cs="Arial"/>
          <w:kern w:val="0"/>
        </w:rPr>
        <w:t>comptable afin que la notification soit correctement adressée à l’agent comptable.</w:t>
      </w:r>
    </w:p>
    <w:p w14:paraId="16B5A2F3" w14:textId="77777777" w:rsidR="001670F7" w:rsidRPr="001670F7" w:rsidRDefault="001670F7" w:rsidP="00167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kern w:val="0"/>
          <w:u w:val="single"/>
        </w:rPr>
      </w:pPr>
      <w:r w:rsidRPr="001670F7">
        <w:rPr>
          <w:rFonts w:cs="Arial"/>
          <w:b/>
          <w:bCs/>
          <w:kern w:val="0"/>
          <w:u w:val="single"/>
        </w:rPr>
        <w:t>II.Du montant à prélever pour le paiement.</w:t>
      </w:r>
    </w:p>
    <w:p w14:paraId="59ED511F" w14:textId="5656AA51" w:rsidR="001670F7" w:rsidRPr="001670F7" w:rsidRDefault="001670F7" w:rsidP="00167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kern w:val="0"/>
        </w:rPr>
      </w:pPr>
      <w:r w:rsidRPr="001670F7">
        <w:rPr>
          <w:rFonts w:cs="Arial"/>
          <w:kern w:val="0"/>
        </w:rPr>
        <w:t>En vertu de l’article L. 3252-3 du code du travail , la détermination de la fraction saisissable tient compte</w:t>
      </w:r>
      <w:r>
        <w:rPr>
          <w:rFonts w:cs="Arial"/>
          <w:kern w:val="0"/>
        </w:rPr>
        <w:t xml:space="preserve"> </w:t>
      </w:r>
      <w:r w:rsidRPr="001670F7">
        <w:rPr>
          <w:rFonts w:cs="Arial"/>
          <w:kern w:val="0"/>
        </w:rPr>
        <w:t>du montant de la rémunération, de ses accessoires ainsi que, le cas échéant, de la valeur des avantages</w:t>
      </w:r>
      <w:r>
        <w:rPr>
          <w:rFonts w:cs="Arial"/>
          <w:kern w:val="0"/>
        </w:rPr>
        <w:t xml:space="preserve"> </w:t>
      </w:r>
      <w:r w:rsidRPr="001670F7">
        <w:rPr>
          <w:rFonts w:cs="Arial"/>
          <w:kern w:val="0"/>
        </w:rPr>
        <w:t>en nature après déduction des cotisations et contributions sociales obligatoires (dont la CSG, CRDS,</w:t>
      </w:r>
      <w:r>
        <w:rPr>
          <w:rFonts w:cs="Arial"/>
          <w:kern w:val="0"/>
        </w:rPr>
        <w:t xml:space="preserve"> </w:t>
      </w:r>
      <w:r w:rsidRPr="001670F7">
        <w:rPr>
          <w:rFonts w:cs="Arial"/>
          <w:kern w:val="0"/>
        </w:rPr>
        <w:t>prélèvements sociaux sur les revenus du patrimoine et les produits de placement visés à l’article 235 ter 2°</w:t>
      </w:r>
      <w:r>
        <w:rPr>
          <w:rFonts w:cs="Arial"/>
          <w:kern w:val="0"/>
        </w:rPr>
        <w:t xml:space="preserve"> </w:t>
      </w:r>
      <w:r w:rsidRPr="001670F7">
        <w:rPr>
          <w:rFonts w:cs="Arial"/>
          <w:kern w:val="0"/>
        </w:rPr>
        <w:t>du code général des impôts) et de la retenue à la source prévue à l'article 204 A du code général des</w:t>
      </w:r>
      <w:r>
        <w:rPr>
          <w:rFonts w:cs="Arial"/>
          <w:kern w:val="0"/>
        </w:rPr>
        <w:t xml:space="preserve"> </w:t>
      </w:r>
      <w:r w:rsidRPr="001670F7">
        <w:rPr>
          <w:rFonts w:cs="Arial"/>
          <w:kern w:val="0"/>
        </w:rPr>
        <w:t>impôts.</w:t>
      </w:r>
    </w:p>
    <w:p w14:paraId="47679EA1" w14:textId="44ED1DE0" w:rsidR="001670F7" w:rsidRPr="001670F7" w:rsidRDefault="001670F7" w:rsidP="00167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kern w:val="0"/>
        </w:rPr>
      </w:pPr>
      <w:r w:rsidRPr="001670F7">
        <w:rPr>
          <w:rFonts w:cs="Arial"/>
          <w:kern w:val="0"/>
        </w:rPr>
        <w:t>En outre, le prélèvement d’une pension alimentaire impayée sur le salaire réduit d’autant la quotité</w:t>
      </w:r>
      <w:r>
        <w:rPr>
          <w:rFonts w:cs="Arial"/>
          <w:kern w:val="0"/>
        </w:rPr>
        <w:t xml:space="preserve"> </w:t>
      </w:r>
      <w:r w:rsidRPr="001670F7">
        <w:rPr>
          <w:rFonts w:cs="Arial"/>
          <w:kern w:val="0"/>
        </w:rPr>
        <w:t>saisissable.</w:t>
      </w:r>
    </w:p>
    <w:p w14:paraId="640D5472" w14:textId="2D0443B1" w:rsidR="001670F7" w:rsidRPr="001670F7" w:rsidRDefault="001670F7" w:rsidP="00167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kern w:val="0"/>
        </w:rPr>
      </w:pPr>
      <w:r w:rsidRPr="001670F7">
        <w:rPr>
          <w:rFonts w:cs="Arial"/>
          <w:kern w:val="0"/>
        </w:rPr>
        <w:t>En effet, ce prélèvement est imputé sur la fraction insaisissable et, s'il y a lieu, sur la fraction saisissable (L.</w:t>
      </w:r>
      <w:r>
        <w:rPr>
          <w:rFonts w:cs="Arial"/>
          <w:kern w:val="0"/>
        </w:rPr>
        <w:t xml:space="preserve"> </w:t>
      </w:r>
      <w:r w:rsidRPr="001670F7">
        <w:rPr>
          <w:rFonts w:cs="Arial"/>
          <w:kern w:val="0"/>
        </w:rPr>
        <w:t>3252-5 du code du travail).</w:t>
      </w:r>
    </w:p>
    <w:p w14:paraId="7BD3A947" w14:textId="47761F88" w:rsidR="001670F7" w:rsidRPr="001670F7" w:rsidRDefault="001670F7" w:rsidP="00167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kern w:val="0"/>
        </w:rPr>
      </w:pPr>
      <w:r w:rsidRPr="001670F7">
        <w:rPr>
          <w:rFonts w:cs="Arial"/>
          <w:kern w:val="0"/>
        </w:rPr>
        <w:t>En d’autres termes, les créances alimentaires peuvent être prélevées sur l’intégralité de la rémunération :</w:t>
      </w:r>
      <w:r>
        <w:rPr>
          <w:rFonts w:cs="Arial"/>
          <w:kern w:val="0"/>
        </w:rPr>
        <w:t xml:space="preserve"> </w:t>
      </w:r>
      <w:r w:rsidRPr="001670F7">
        <w:rPr>
          <w:rFonts w:cs="Arial"/>
          <w:kern w:val="0"/>
        </w:rPr>
        <w:t>d’abord sur la fraction insaisissable et ensuite, si nécessaire, sur la fraction saisissable.</w:t>
      </w:r>
    </w:p>
    <w:p w14:paraId="550F8576" w14:textId="785F30A7" w:rsidR="001670F7" w:rsidRPr="001670F7" w:rsidRDefault="001670F7" w:rsidP="00167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kern w:val="0"/>
        </w:rPr>
      </w:pPr>
      <w:r w:rsidRPr="001670F7">
        <w:rPr>
          <w:rFonts w:cs="Arial"/>
          <w:kern w:val="0"/>
        </w:rPr>
        <w:t>Seule la part de la rémunération correspondant au montant forfaitaire du RSA pour un foyer composé</w:t>
      </w:r>
      <w:r>
        <w:rPr>
          <w:rFonts w:cs="Arial"/>
          <w:kern w:val="0"/>
        </w:rPr>
        <w:t xml:space="preserve"> </w:t>
      </w:r>
      <w:r w:rsidRPr="001670F7">
        <w:rPr>
          <w:rFonts w:cs="Arial"/>
          <w:kern w:val="0"/>
        </w:rPr>
        <w:t>d’une seule personne (soit 646,52 € à compter du 1er avril 2025 cf Décret n° 2025-293 du 29 mars 2025</w:t>
      </w:r>
      <w:r>
        <w:rPr>
          <w:rFonts w:cs="Arial"/>
          <w:kern w:val="0"/>
        </w:rPr>
        <w:t xml:space="preserve"> </w:t>
      </w:r>
      <w:r w:rsidRPr="001670F7">
        <w:rPr>
          <w:rFonts w:cs="Arial"/>
          <w:kern w:val="0"/>
        </w:rPr>
        <w:t>portant revalorisation du montant forfaitaire du revenu de solidarité active) doit obligatoirement être</w:t>
      </w:r>
      <w:r>
        <w:rPr>
          <w:rFonts w:cs="Arial"/>
          <w:kern w:val="0"/>
        </w:rPr>
        <w:t xml:space="preserve"> </w:t>
      </w:r>
      <w:r w:rsidRPr="001670F7">
        <w:rPr>
          <w:rFonts w:cs="Arial"/>
          <w:kern w:val="0"/>
        </w:rPr>
        <w:t>versée au salarié (article L3252-5 du code du travail).</w:t>
      </w:r>
    </w:p>
    <w:sectPr w:rsidR="001670F7" w:rsidRPr="001670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AEAE8" w14:textId="77777777" w:rsidR="00A168A6" w:rsidRDefault="00A168A6" w:rsidP="001670F7">
      <w:pPr>
        <w:spacing w:after="0" w:line="240" w:lineRule="auto"/>
      </w:pPr>
      <w:r>
        <w:separator/>
      </w:r>
    </w:p>
  </w:endnote>
  <w:endnote w:type="continuationSeparator" w:id="0">
    <w:p w14:paraId="1E6DD520" w14:textId="77777777" w:rsidR="00A168A6" w:rsidRDefault="00A168A6" w:rsidP="00167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4E474" w14:textId="77777777" w:rsidR="001670F7" w:rsidRDefault="001670F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5DA8E" w14:textId="79910B91" w:rsidR="001670F7" w:rsidRPr="001670F7" w:rsidRDefault="001670F7">
    <w:pPr>
      <w:pStyle w:val="Pieddepage"/>
      <w:rPr>
        <w:i/>
        <w:iCs/>
        <w:color w:val="7030A0"/>
      </w:rPr>
    </w:pPr>
    <w:r w:rsidRPr="001670F7">
      <w:rPr>
        <w:i/>
        <w:iCs/>
        <w:color w:val="7030A0"/>
      </w:rPr>
      <w:t xml:space="preserve">Mis </w:t>
    </w:r>
    <w:r w:rsidR="00B8595A">
      <w:rPr>
        <w:i/>
        <w:iCs/>
        <w:color w:val="7030A0"/>
      </w:rPr>
      <w:t>à</w:t>
    </w:r>
    <w:r w:rsidRPr="001670F7">
      <w:rPr>
        <w:i/>
        <w:iCs/>
        <w:color w:val="7030A0"/>
      </w:rPr>
      <w:t xml:space="preserve"> Jour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FD07" w14:textId="77777777" w:rsidR="001670F7" w:rsidRDefault="001670F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47534" w14:textId="77777777" w:rsidR="00A168A6" w:rsidRDefault="00A168A6" w:rsidP="001670F7">
      <w:pPr>
        <w:spacing w:after="0" w:line="240" w:lineRule="auto"/>
      </w:pPr>
      <w:r>
        <w:separator/>
      </w:r>
    </w:p>
  </w:footnote>
  <w:footnote w:type="continuationSeparator" w:id="0">
    <w:p w14:paraId="3B0A34D6" w14:textId="77777777" w:rsidR="00A168A6" w:rsidRDefault="00A168A6" w:rsidP="00167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333CF" w14:textId="77777777" w:rsidR="001670F7" w:rsidRDefault="001670F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B4B8A" w14:textId="77777777" w:rsidR="001670F7" w:rsidRDefault="001670F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BCCED" w14:textId="77777777" w:rsidR="001670F7" w:rsidRDefault="001670F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0F7"/>
    <w:rsid w:val="001670F7"/>
    <w:rsid w:val="002847E6"/>
    <w:rsid w:val="00306E20"/>
    <w:rsid w:val="00A168A6"/>
    <w:rsid w:val="00AF7E60"/>
    <w:rsid w:val="00B8595A"/>
    <w:rsid w:val="00BD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4DE071"/>
  <w15:chartTrackingRefBased/>
  <w15:docId w15:val="{209534AC-6062-458D-B14C-40690F836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70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70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70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70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70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70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70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70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70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70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70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70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70F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70F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70F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70F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70F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70F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70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70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70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70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70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70F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70F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70F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70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70F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70F7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67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670F7"/>
  </w:style>
  <w:style w:type="paragraph" w:styleId="Pieddepage">
    <w:name w:val="footer"/>
    <w:basedOn w:val="Normal"/>
    <w:link w:val="PieddepageCar"/>
    <w:uiPriority w:val="99"/>
    <w:unhideWhenUsed/>
    <w:rsid w:val="00167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67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388</Words>
  <Characters>2135</Characters>
  <Application>Microsoft Office Word</Application>
  <DocSecurity>0</DocSecurity>
  <Lines>17</Lines>
  <Paragraphs>5</Paragraphs>
  <ScaleCrop>false</ScaleCrop>
  <Company>GRAND PORT MARITIME DE MARSEILLE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2</cp:revision>
  <dcterms:created xsi:type="dcterms:W3CDTF">2025-04-10T15:07:00Z</dcterms:created>
  <dcterms:modified xsi:type="dcterms:W3CDTF">2025-04-10T15:18:00Z</dcterms:modified>
</cp:coreProperties>
</file>